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1A2E" w:rsidRPr="00190574" w:rsidRDefault="002C599E" w:rsidP="009D1A2E">
      <w:pPr>
        <w:pStyle w:val="CoverTextRed16pt"/>
        <w:ind w:left="5040"/>
        <w:rPr>
          <w:rFonts w:ascii="Times New Roman" w:hAnsi="Times New Roman"/>
          <w:noProof/>
          <w:color w:val="auto"/>
          <w:sz w:val="28"/>
          <w:szCs w:val="28"/>
        </w:rPr>
      </w:pPr>
      <w:r w:rsidRPr="00190574">
        <w:rPr>
          <w:rFonts w:ascii="Times New Roman" w:hAnsi="Times New Roman"/>
          <w:noProof/>
          <w:color w:val="auto"/>
          <w:sz w:val="28"/>
          <w:szCs w:val="28"/>
        </w:rPr>
        <w:drawing>
          <wp:anchor distT="0" distB="0" distL="114300" distR="114300" simplePos="0" relativeHeight="251661312" behindDoc="0" locked="0" layoutInCell="1" allowOverlap="1" wp14:anchorId="716E7950" wp14:editId="3630EBAC">
            <wp:simplePos x="0" y="0"/>
            <wp:positionH relativeFrom="column">
              <wp:posOffset>464185</wp:posOffset>
            </wp:positionH>
            <wp:positionV relativeFrom="paragraph">
              <wp:posOffset>-102073</wp:posOffset>
            </wp:positionV>
            <wp:extent cx="1336040" cy="1321435"/>
            <wp:effectExtent l="0" t="0" r="0" b="0"/>
            <wp:wrapNone/>
            <wp:docPr id="61" name="Picture 61" descr="Environmental Protection Agenc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le:Environmental Protection Agency logo.sv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6040" cy="1321435"/>
                    </a:xfrm>
                    <a:prstGeom prst="rect">
                      <a:avLst/>
                    </a:prstGeom>
                    <a:noFill/>
                    <a:ln>
                      <a:noFill/>
                    </a:ln>
                  </pic:spPr>
                </pic:pic>
              </a:graphicData>
            </a:graphic>
          </wp:anchor>
        </w:drawing>
      </w:r>
      <w:r w:rsidRPr="00190574">
        <w:rPr>
          <w:rFonts w:ascii="Times New Roman" w:hAnsi="Times New Roman"/>
          <w:noProof/>
          <w:color w:val="auto"/>
          <w:sz w:val="28"/>
          <w:szCs w:val="28"/>
        </w:rPr>
        <w:drawing>
          <wp:anchor distT="0" distB="0" distL="114300" distR="114300" simplePos="0" relativeHeight="251657216" behindDoc="0" locked="1" layoutInCell="1" allowOverlap="1" wp14:anchorId="0DCDF7D5" wp14:editId="31A971C2">
            <wp:simplePos x="0" y="0"/>
            <wp:positionH relativeFrom="column">
              <wp:posOffset>533400</wp:posOffset>
            </wp:positionH>
            <wp:positionV relativeFrom="paragraph">
              <wp:posOffset>1658620</wp:posOffset>
            </wp:positionV>
            <wp:extent cx="1197610" cy="1197610"/>
            <wp:effectExtent l="0" t="0" r="2540" b="2540"/>
            <wp:wrapNone/>
            <wp:docPr id="11" name="Picture 11" descr="abt_assoc_logo_pms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bt_assoc_logo_pms_cmy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7610" cy="1197610"/>
                    </a:xfrm>
                    <a:prstGeom prst="rect">
                      <a:avLst/>
                    </a:prstGeom>
                    <a:noFill/>
                    <a:ln>
                      <a:noFill/>
                    </a:ln>
                  </pic:spPr>
                </pic:pic>
              </a:graphicData>
            </a:graphic>
          </wp:anchor>
        </w:drawing>
      </w:r>
      <w:r w:rsidRPr="00190574">
        <w:rPr>
          <w:rFonts w:ascii="Times New Roman" w:hAnsi="Times New Roman"/>
          <w:color w:val="auto"/>
          <w:sz w:val="28"/>
          <w:szCs w:val="28"/>
        </w:rPr>
        <w:t xml:space="preserve"> </w:t>
      </w:r>
      <w:r w:rsidR="009D1A2E" w:rsidRPr="00190574">
        <w:rPr>
          <w:rFonts w:ascii="Times New Roman" w:hAnsi="Times New Roman"/>
          <w:noProof/>
          <w:color w:val="auto"/>
          <w:sz w:val="28"/>
          <w:szCs w:val="28"/>
        </w:rPr>
        <w:t>Industrial, Commercial, and Institutional Fuel Combustion:</w:t>
      </w:r>
    </w:p>
    <w:p w:rsidR="009D1A2E" w:rsidRPr="00190574" w:rsidRDefault="009D1A2E" w:rsidP="002C599E">
      <w:pPr>
        <w:pStyle w:val="CoverTextRed16pt"/>
        <w:rPr>
          <w:rFonts w:ascii="Times New Roman" w:hAnsi="Times New Roman"/>
          <w:noProof/>
          <w:color w:val="auto"/>
          <w:sz w:val="28"/>
          <w:szCs w:val="28"/>
        </w:rPr>
      </w:pPr>
    </w:p>
    <w:p w:rsidR="002C599E" w:rsidRPr="00190574" w:rsidRDefault="009D1A2E" w:rsidP="009D1A2E">
      <w:pPr>
        <w:pStyle w:val="CoverTextRed16pt"/>
        <w:ind w:left="4590"/>
        <w:rPr>
          <w:rFonts w:ascii="Times New Roman" w:hAnsi="Times New Roman"/>
          <w:noProof/>
          <w:color w:val="auto"/>
          <w:sz w:val="28"/>
          <w:szCs w:val="28"/>
        </w:rPr>
      </w:pPr>
      <w:r w:rsidRPr="00190574">
        <w:rPr>
          <w:rFonts w:ascii="Times New Roman" w:hAnsi="Times New Roman"/>
          <w:noProof/>
          <w:color w:val="auto"/>
          <w:sz w:val="28"/>
          <w:szCs w:val="28"/>
        </w:rPr>
        <w:t xml:space="preserve"> Documentation for EPA’s</w:t>
      </w:r>
      <w:r w:rsidR="00794B35" w:rsidRPr="00190574">
        <w:rPr>
          <w:rFonts w:ascii="Times New Roman" w:hAnsi="Times New Roman"/>
          <w:noProof/>
          <w:color w:val="auto"/>
          <w:sz w:val="28"/>
          <w:szCs w:val="28"/>
        </w:rPr>
        <w:t xml:space="preserve"> </w:t>
      </w:r>
      <w:r w:rsidRPr="00190574">
        <w:rPr>
          <w:rFonts w:ascii="Times New Roman" w:hAnsi="Times New Roman"/>
          <w:noProof/>
          <w:color w:val="auto"/>
          <w:sz w:val="28"/>
          <w:szCs w:val="28"/>
        </w:rPr>
        <w:t>Nonpoint Emissions Estimation Tool</w:t>
      </w:r>
      <w:bookmarkStart w:id="0" w:name="_GoBack"/>
      <w:r w:rsidRPr="00190574">
        <w:rPr>
          <w:rFonts w:ascii="Times New Roman" w:hAnsi="Times New Roman"/>
          <w:noProof/>
          <w:color w:val="auto"/>
          <w:sz w:val="28"/>
          <w:szCs w:val="28"/>
        </w:rPr>
        <w:t xml:space="preserve"> </w:t>
      </w:r>
    </w:p>
    <w:p w:rsidR="00794B35" w:rsidRPr="00190574" w:rsidRDefault="00794B35" w:rsidP="002C599E">
      <w:pPr>
        <w:pStyle w:val="CoverText-Address"/>
        <w:rPr>
          <w:rFonts w:ascii="Times New Roman" w:hAnsi="Times New Roman"/>
          <w:noProof/>
          <w:color w:val="auto"/>
          <w:sz w:val="24"/>
        </w:rPr>
      </w:pPr>
    </w:p>
    <w:p w:rsidR="00794B35" w:rsidRPr="00190574" w:rsidRDefault="00794B35" w:rsidP="002C599E">
      <w:pPr>
        <w:pStyle w:val="CoverText-Address"/>
        <w:rPr>
          <w:rFonts w:ascii="Times New Roman" w:hAnsi="Times New Roman"/>
          <w:noProof/>
          <w:color w:val="auto"/>
          <w:sz w:val="24"/>
        </w:rPr>
      </w:pPr>
    </w:p>
    <w:bookmarkEnd w:id="0"/>
    <w:p w:rsidR="00794B35" w:rsidRPr="00190574" w:rsidRDefault="000C1C3B" w:rsidP="002C599E">
      <w:pPr>
        <w:pStyle w:val="CoverText-Address"/>
        <w:rPr>
          <w:rFonts w:ascii="Times New Roman" w:hAnsi="Times New Roman"/>
          <w:noProof/>
          <w:color w:val="auto"/>
          <w:sz w:val="24"/>
        </w:rPr>
      </w:pPr>
      <w:r w:rsidRPr="00190574">
        <w:rPr>
          <w:rFonts w:ascii="Times New Roman" w:hAnsi="Times New Roman"/>
          <w:noProof/>
          <w:color w:val="auto"/>
          <w:sz w:val="24"/>
        </w:rPr>
        <w:t>ICI Tool Version 1.</w:t>
      </w:r>
      <w:r w:rsidR="00937313" w:rsidRPr="00190574">
        <w:rPr>
          <w:rFonts w:ascii="Times New Roman" w:hAnsi="Times New Roman"/>
          <w:noProof/>
          <w:color w:val="auto"/>
          <w:sz w:val="24"/>
        </w:rPr>
        <w:t>6</w:t>
      </w:r>
    </w:p>
    <w:p w:rsidR="00794B35" w:rsidRPr="00190574" w:rsidRDefault="00794B35" w:rsidP="002C599E">
      <w:pPr>
        <w:pStyle w:val="CoverText-Address"/>
        <w:rPr>
          <w:rFonts w:ascii="Times New Roman" w:hAnsi="Times New Roman"/>
          <w:noProof/>
          <w:color w:val="auto"/>
          <w:sz w:val="24"/>
        </w:rPr>
      </w:pPr>
    </w:p>
    <w:p w:rsidR="000C1C3B" w:rsidRPr="00190574" w:rsidRDefault="000C1C3B" w:rsidP="002C599E">
      <w:pPr>
        <w:pStyle w:val="CoverText-Address"/>
        <w:rPr>
          <w:rFonts w:ascii="Times New Roman" w:hAnsi="Times New Roman"/>
          <w:noProof/>
          <w:color w:val="auto"/>
          <w:sz w:val="24"/>
        </w:rPr>
      </w:pPr>
    </w:p>
    <w:p w:rsidR="00794B35" w:rsidRPr="00190574" w:rsidRDefault="00794B35" w:rsidP="002C599E">
      <w:pPr>
        <w:pStyle w:val="CoverText-Address"/>
        <w:rPr>
          <w:rFonts w:ascii="Times New Roman" w:hAnsi="Times New Roman"/>
          <w:noProof/>
          <w:color w:val="auto"/>
          <w:sz w:val="24"/>
        </w:rPr>
      </w:pPr>
    </w:p>
    <w:p w:rsidR="002C599E" w:rsidRPr="00190574" w:rsidRDefault="002C599E" w:rsidP="002C599E">
      <w:pPr>
        <w:pStyle w:val="CoverText-Address"/>
        <w:rPr>
          <w:rFonts w:ascii="Times New Roman" w:hAnsi="Times New Roman"/>
          <w:noProof/>
          <w:color w:val="auto"/>
          <w:sz w:val="24"/>
        </w:rPr>
      </w:pPr>
    </w:p>
    <w:p w:rsidR="002C599E" w:rsidRPr="00190574" w:rsidRDefault="002C599E" w:rsidP="002C599E">
      <w:pPr>
        <w:pStyle w:val="CoverText-Address"/>
        <w:rPr>
          <w:rFonts w:ascii="Times New Roman" w:hAnsi="Times New Roman"/>
          <w:color w:val="auto"/>
          <w:sz w:val="24"/>
        </w:rPr>
      </w:pPr>
    </w:p>
    <w:p w:rsidR="002C599E" w:rsidRPr="00190574" w:rsidRDefault="002C599E" w:rsidP="002C599E">
      <w:pPr>
        <w:pStyle w:val="CoverText-Address"/>
        <w:rPr>
          <w:rFonts w:ascii="Times New Roman" w:hAnsi="Times New Roman"/>
          <w:color w:val="auto"/>
          <w:sz w:val="24"/>
        </w:rPr>
      </w:pPr>
    </w:p>
    <w:p w:rsidR="00937313" w:rsidRPr="00190574" w:rsidRDefault="00937313" w:rsidP="002C599E">
      <w:pPr>
        <w:pStyle w:val="CoverText-Address"/>
        <w:rPr>
          <w:rFonts w:ascii="Times New Roman" w:hAnsi="Times New Roman"/>
          <w:color w:val="auto"/>
          <w:sz w:val="24"/>
        </w:rPr>
      </w:pPr>
    </w:p>
    <w:p w:rsidR="002C599E" w:rsidRPr="00190574" w:rsidRDefault="002C599E" w:rsidP="002C599E">
      <w:pPr>
        <w:pStyle w:val="CoverText-Address"/>
        <w:rPr>
          <w:rFonts w:ascii="Times New Roman" w:hAnsi="Times New Roman"/>
          <w:color w:val="auto"/>
          <w:sz w:val="24"/>
        </w:rPr>
      </w:pPr>
    </w:p>
    <w:p w:rsidR="002C599E" w:rsidRPr="00190574" w:rsidRDefault="002C599E" w:rsidP="002C599E">
      <w:pPr>
        <w:pStyle w:val="CoverText-Address"/>
        <w:rPr>
          <w:rFonts w:ascii="Times New Roman" w:hAnsi="Times New Roman"/>
          <w:color w:val="auto"/>
          <w:sz w:val="24"/>
        </w:rPr>
      </w:pPr>
    </w:p>
    <w:p w:rsidR="00095158" w:rsidRPr="00190574" w:rsidRDefault="00095158" w:rsidP="00095158">
      <w:pPr>
        <w:pStyle w:val="CoverText-Address"/>
        <w:tabs>
          <w:tab w:val="left" w:pos="5790"/>
          <w:tab w:val="right" w:pos="9907"/>
        </w:tabs>
        <w:jc w:val="left"/>
        <w:rPr>
          <w:rFonts w:ascii="Times New Roman" w:hAnsi="Times New Roman"/>
          <w:color w:val="auto"/>
          <w:sz w:val="24"/>
        </w:rPr>
      </w:pPr>
    </w:p>
    <w:p w:rsidR="002C599E" w:rsidRPr="00190574" w:rsidRDefault="00095158" w:rsidP="00095158">
      <w:pPr>
        <w:pStyle w:val="CoverText-Address"/>
        <w:tabs>
          <w:tab w:val="left" w:pos="5790"/>
          <w:tab w:val="right" w:pos="9907"/>
        </w:tabs>
        <w:jc w:val="left"/>
        <w:rPr>
          <w:rFonts w:ascii="Times New Roman" w:hAnsi="Times New Roman"/>
          <w:color w:val="auto"/>
          <w:sz w:val="24"/>
        </w:rPr>
      </w:pPr>
      <w:r w:rsidRPr="00190574">
        <w:rPr>
          <w:rFonts w:ascii="Times New Roman" w:hAnsi="Times New Roman"/>
          <w:color w:val="auto"/>
          <w:sz w:val="24"/>
        </w:rPr>
        <w:tab/>
      </w:r>
      <w:r w:rsidRPr="00190574">
        <w:rPr>
          <w:rFonts w:ascii="Times New Roman" w:hAnsi="Times New Roman"/>
          <w:color w:val="auto"/>
          <w:sz w:val="24"/>
        </w:rPr>
        <w:tab/>
      </w:r>
      <w:r w:rsidRPr="00190574">
        <w:rPr>
          <w:rFonts w:ascii="Times New Roman" w:hAnsi="Times New Roman"/>
          <w:color w:val="auto"/>
          <w:sz w:val="24"/>
        </w:rPr>
        <w:tab/>
      </w:r>
      <w:r w:rsidR="00937313" w:rsidRPr="00190574">
        <w:rPr>
          <w:rFonts w:ascii="Times New Roman" w:hAnsi="Times New Roman"/>
          <w:color w:val="auto"/>
          <w:sz w:val="24"/>
        </w:rPr>
        <w:t>May 2017</w:t>
      </w:r>
    </w:p>
    <w:p w:rsidR="002C599E" w:rsidRPr="00190574" w:rsidRDefault="002C599E" w:rsidP="002C599E">
      <w:pPr>
        <w:pStyle w:val="CoverText-Address"/>
        <w:rPr>
          <w:rFonts w:ascii="Times New Roman" w:hAnsi="Times New Roman"/>
          <w:color w:val="auto"/>
          <w:sz w:val="24"/>
        </w:rPr>
      </w:pPr>
    </w:p>
    <w:p w:rsidR="002C599E" w:rsidRPr="00190574" w:rsidRDefault="002C599E" w:rsidP="002C599E">
      <w:pPr>
        <w:tabs>
          <w:tab w:val="left" w:pos="720"/>
          <w:tab w:val="left" w:pos="1080"/>
          <w:tab w:val="left" w:pos="1440"/>
          <w:tab w:val="left" w:pos="1800"/>
          <w:tab w:val="left" w:pos="6660"/>
        </w:tabs>
        <w:ind w:left="6490" w:right="-540"/>
        <w:jc w:val="right"/>
        <w:rPr>
          <w:rFonts w:ascii="Times New Roman" w:hAnsi="Times New Roman"/>
          <w:sz w:val="24"/>
        </w:rPr>
      </w:pPr>
    </w:p>
    <w:p w:rsidR="00A17563" w:rsidRPr="00190574" w:rsidRDefault="00A17563" w:rsidP="002C599E">
      <w:pPr>
        <w:tabs>
          <w:tab w:val="left" w:pos="720"/>
          <w:tab w:val="left" w:pos="1080"/>
          <w:tab w:val="left" w:pos="1440"/>
          <w:tab w:val="left" w:pos="1800"/>
          <w:tab w:val="left" w:pos="6660"/>
        </w:tabs>
        <w:ind w:left="6490" w:right="-540"/>
        <w:jc w:val="right"/>
        <w:rPr>
          <w:rFonts w:ascii="Times New Roman" w:hAnsi="Times New Roman"/>
          <w:sz w:val="24"/>
        </w:rPr>
      </w:pPr>
    </w:p>
    <w:p w:rsidR="00794B35" w:rsidRPr="00190574" w:rsidRDefault="00794B35" w:rsidP="002C599E">
      <w:pPr>
        <w:tabs>
          <w:tab w:val="left" w:pos="720"/>
          <w:tab w:val="left" w:pos="1080"/>
          <w:tab w:val="left" w:pos="1440"/>
          <w:tab w:val="left" w:pos="1800"/>
          <w:tab w:val="left" w:pos="6660"/>
        </w:tabs>
        <w:ind w:left="6490" w:right="-540"/>
        <w:jc w:val="right"/>
        <w:rPr>
          <w:rFonts w:ascii="Times New Roman" w:hAnsi="Times New Roman"/>
          <w:sz w:val="24"/>
        </w:rPr>
      </w:pPr>
    </w:p>
    <w:p w:rsidR="00794B35" w:rsidRPr="00190574" w:rsidRDefault="00794B35" w:rsidP="002C599E">
      <w:pPr>
        <w:tabs>
          <w:tab w:val="left" w:pos="720"/>
          <w:tab w:val="left" w:pos="1080"/>
          <w:tab w:val="left" w:pos="1440"/>
          <w:tab w:val="left" w:pos="1800"/>
          <w:tab w:val="left" w:pos="6660"/>
        </w:tabs>
        <w:ind w:left="6490" w:right="-540"/>
        <w:jc w:val="right"/>
        <w:rPr>
          <w:rFonts w:ascii="Times New Roman" w:hAnsi="Times New Roman"/>
          <w:sz w:val="24"/>
        </w:rPr>
      </w:pPr>
    </w:p>
    <w:p w:rsidR="00794B35" w:rsidRPr="00190574" w:rsidRDefault="00794B35" w:rsidP="002C599E">
      <w:pPr>
        <w:tabs>
          <w:tab w:val="left" w:pos="720"/>
          <w:tab w:val="left" w:pos="1080"/>
          <w:tab w:val="left" w:pos="1440"/>
          <w:tab w:val="left" w:pos="1800"/>
          <w:tab w:val="left" w:pos="6660"/>
        </w:tabs>
        <w:ind w:left="6490" w:right="-540"/>
        <w:jc w:val="right"/>
        <w:rPr>
          <w:rFonts w:ascii="Times New Roman" w:hAnsi="Times New Roman"/>
          <w:sz w:val="24"/>
        </w:rPr>
      </w:pPr>
    </w:p>
    <w:p w:rsidR="00794B35" w:rsidRPr="00190574" w:rsidRDefault="00794B35" w:rsidP="002C599E">
      <w:pPr>
        <w:tabs>
          <w:tab w:val="left" w:pos="720"/>
          <w:tab w:val="left" w:pos="1080"/>
          <w:tab w:val="left" w:pos="1440"/>
          <w:tab w:val="left" w:pos="1800"/>
          <w:tab w:val="left" w:pos="6660"/>
        </w:tabs>
        <w:ind w:left="6490" w:right="-540"/>
        <w:jc w:val="right"/>
        <w:rPr>
          <w:rFonts w:ascii="Times New Roman" w:hAnsi="Times New Roman"/>
          <w:sz w:val="24"/>
        </w:rPr>
      </w:pPr>
    </w:p>
    <w:p w:rsidR="00A17563" w:rsidRPr="00190574" w:rsidRDefault="00A17563" w:rsidP="002C599E">
      <w:pPr>
        <w:tabs>
          <w:tab w:val="left" w:pos="720"/>
          <w:tab w:val="left" w:pos="1080"/>
          <w:tab w:val="left" w:pos="1440"/>
          <w:tab w:val="left" w:pos="1800"/>
          <w:tab w:val="left" w:pos="6660"/>
        </w:tabs>
        <w:ind w:left="6490" w:right="-540"/>
        <w:jc w:val="right"/>
        <w:rPr>
          <w:rFonts w:ascii="Times New Roman" w:hAnsi="Times New Roman"/>
          <w:sz w:val="24"/>
        </w:rPr>
      </w:pPr>
    </w:p>
    <w:p w:rsidR="002C599E" w:rsidRPr="00190574" w:rsidRDefault="002C599E" w:rsidP="002C599E">
      <w:pPr>
        <w:pStyle w:val="CoverText11pt"/>
        <w:rPr>
          <w:rFonts w:ascii="Times New Roman" w:hAnsi="Times New Roman"/>
          <w:color w:val="auto"/>
          <w:sz w:val="24"/>
        </w:rPr>
      </w:pPr>
      <w:r w:rsidRPr="00190574">
        <w:rPr>
          <w:rFonts w:ascii="Times New Roman" w:hAnsi="Times New Roman"/>
          <w:color w:val="auto"/>
          <w:sz w:val="24"/>
        </w:rPr>
        <w:t>Prepared for:</w:t>
      </w:r>
    </w:p>
    <w:p w:rsidR="007D212C" w:rsidRPr="00190574" w:rsidRDefault="007D212C" w:rsidP="007D212C">
      <w:pPr>
        <w:pStyle w:val="CoverText-Address"/>
        <w:rPr>
          <w:rFonts w:ascii="Times New Roman" w:hAnsi="Times New Roman"/>
          <w:b/>
          <w:color w:val="auto"/>
          <w:sz w:val="24"/>
        </w:rPr>
      </w:pPr>
      <w:r w:rsidRPr="00190574">
        <w:rPr>
          <w:rFonts w:ascii="Times New Roman" w:hAnsi="Times New Roman"/>
          <w:b/>
          <w:color w:val="auto"/>
          <w:sz w:val="24"/>
        </w:rPr>
        <w:t>U.S. Environmental Protection Agency</w:t>
      </w:r>
    </w:p>
    <w:p w:rsidR="007D212C" w:rsidRPr="00190574" w:rsidRDefault="007D212C" w:rsidP="007D212C">
      <w:pPr>
        <w:pStyle w:val="CoverText-Address"/>
        <w:rPr>
          <w:rFonts w:ascii="Times New Roman" w:hAnsi="Times New Roman"/>
          <w:color w:val="auto"/>
          <w:sz w:val="24"/>
        </w:rPr>
      </w:pPr>
      <w:r w:rsidRPr="00190574">
        <w:rPr>
          <w:rFonts w:ascii="Times New Roman" w:hAnsi="Times New Roman"/>
          <w:color w:val="auto"/>
          <w:sz w:val="24"/>
        </w:rPr>
        <w:t>Emissions Inventory and Analysis Group</w:t>
      </w:r>
    </w:p>
    <w:p w:rsidR="007D212C" w:rsidRPr="00190574" w:rsidRDefault="007D212C" w:rsidP="007D212C">
      <w:pPr>
        <w:pStyle w:val="CoverText-Address"/>
        <w:rPr>
          <w:rFonts w:ascii="Times New Roman" w:hAnsi="Times New Roman"/>
          <w:color w:val="auto"/>
          <w:sz w:val="24"/>
        </w:rPr>
      </w:pPr>
      <w:r w:rsidRPr="00190574">
        <w:rPr>
          <w:rFonts w:ascii="Times New Roman" w:hAnsi="Times New Roman"/>
          <w:color w:val="auto"/>
          <w:sz w:val="24"/>
        </w:rPr>
        <w:t>Office of Air Quality Planning and Standards</w:t>
      </w:r>
    </w:p>
    <w:p w:rsidR="002C599E" w:rsidRPr="00190574" w:rsidRDefault="007D212C" w:rsidP="007D212C">
      <w:pPr>
        <w:pStyle w:val="CoverText-Address"/>
        <w:rPr>
          <w:rFonts w:ascii="Times New Roman" w:hAnsi="Times New Roman"/>
          <w:color w:val="auto"/>
          <w:sz w:val="24"/>
        </w:rPr>
      </w:pPr>
      <w:r w:rsidRPr="00190574">
        <w:rPr>
          <w:rFonts w:ascii="Times New Roman" w:hAnsi="Times New Roman"/>
          <w:color w:val="auto"/>
          <w:sz w:val="24"/>
        </w:rPr>
        <w:t>Research Triangle Park, NC, USA</w:t>
      </w:r>
    </w:p>
    <w:p w:rsidR="002C599E" w:rsidRPr="00190574" w:rsidRDefault="002C599E" w:rsidP="002C599E">
      <w:pPr>
        <w:pStyle w:val="CoverText-Address"/>
        <w:rPr>
          <w:rFonts w:ascii="Times New Roman" w:hAnsi="Times New Roman"/>
          <w:color w:val="auto"/>
          <w:sz w:val="24"/>
        </w:rPr>
      </w:pPr>
    </w:p>
    <w:p w:rsidR="002C599E" w:rsidRPr="00190574" w:rsidRDefault="002C599E" w:rsidP="002C599E">
      <w:pPr>
        <w:pStyle w:val="CoverText-Address"/>
        <w:rPr>
          <w:rFonts w:ascii="Times New Roman" w:hAnsi="Times New Roman"/>
          <w:color w:val="auto"/>
          <w:sz w:val="24"/>
        </w:rPr>
      </w:pPr>
    </w:p>
    <w:p w:rsidR="002C599E" w:rsidRPr="00190574" w:rsidRDefault="002C599E" w:rsidP="002C599E">
      <w:pPr>
        <w:pStyle w:val="CoverText11pt"/>
        <w:rPr>
          <w:rFonts w:ascii="Times New Roman" w:hAnsi="Times New Roman"/>
          <w:color w:val="auto"/>
          <w:sz w:val="24"/>
        </w:rPr>
      </w:pPr>
      <w:r w:rsidRPr="00190574">
        <w:rPr>
          <w:rFonts w:ascii="Times New Roman" w:hAnsi="Times New Roman"/>
          <w:color w:val="auto"/>
          <w:sz w:val="24"/>
        </w:rPr>
        <w:t>Submitted by:</w:t>
      </w:r>
    </w:p>
    <w:p w:rsidR="00A17563" w:rsidRPr="00190574" w:rsidRDefault="00A17563" w:rsidP="002C599E">
      <w:pPr>
        <w:pStyle w:val="CoverText-Address"/>
        <w:rPr>
          <w:rFonts w:ascii="Times New Roman" w:hAnsi="Times New Roman"/>
          <w:b/>
          <w:color w:val="auto"/>
          <w:sz w:val="24"/>
        </w:rPr>
      </w:pPr>
      <w:r w:rsidRPr="00190574">
        <w:rPr>
          <w:rFonts w:ascii="Times New Roman" w:hAnsi="Times New Roman"/>
          <w:b/>
          <w:color w:val="auto"/>
          <w:sz w:val="24"/>
        </w:rPr>
        <w:t>Abt Associates</w:t>
      </w:r>
    </w:p>
    <w:p w:rsidR="007D212C" w:rsidRPr="00190574" w:rsidRDefault="007D212C" w:rsidP="002C599E">
      <w:pPr>
        <w:pStyle w:val="CoverText-Address"/>
        <w:rPr>
          <w:rFonts w:ascii="Times New Roman" w:hAnsi="Times New Roman"/>
          <w:color w:val="auto"/>
          <w:sz w:val="24"/>
        </w:rPr>
      </w:pPr>
      <w:r w:rsidRPr="00190574">
        <w:rPr>
          <w:rFonts w:ascii="Times New Roman" w:hAnsi="Times New Roman"/>
          <w:color w:val="auto"/>
          <w:sz w:val="24"/>
        </w:rPr>
        <w:t>5001 South Miami Blvd., Suite 210</w:t>
      </w:r>
    </w:p>
    <w:p w:rsidR="002C599E" w:rsidRPr="00190574" w:rsidRDefault="00A17563" w:rsidP="002C599E">
      <w:pPr>
        <w:pStyle w:val="CoverText-Address"/>
        <w:rPr>
          <w:rFonts w:ascii="Times New Roman" w:hAnsi="Times New Roman"/>
          <w:color w:val="auto"/>
          <w:sz w:val="24"/>
        </w:rPr>
      </w:pPr>
      <w:r w:rsidRPr="00190574">
        <w:rPr>
          <w:rFonts w:ascii="Times New Roman" w:hAnsi="Times New Roman"/>
          <w:color w:val="auto"/>
          <w:sz w:val="24"/>
        </w:rPr>
        <w:t>Durham, NC, USA</w:t>
      </w:r>
    </w:p>
    <w:p w:rsidR="00794B35" w:rsidRPr="00190574" w:rsidRDefault="00794B35" w:rsidP="002C599E">
      <w:pPr>
        <w:pStyle w:val="CoverText-Address"/>
        <w:rPr>
          <w:rFonts w:ascii="Times New Roman" w:hAnsi="Times New Roman"/>
          <w:color w:val="auto"/>
          <w:sz w:val="24"/>
        </w:rPr>
      </w:pPr>
    </w:p>
    <w:p w:rsidR="00794B35" w:rsidRPr="00190574" w:rsidRDefault="00794B35" w:rsidP="00794B35">
      <w:pPr>
        <w:pStyle w:val="CoverText-Address"/>
        <w:rPr>
          <w:rFonts w:ascii="Times New Roman" w:hAnsi="Times New Roman"/>
          <w:color w:val="auto"/>
          <w:sz w:val="24"/>
        </w:rPr>
      </w:pPr>
    </w:p>
    <w:p w:rsidR="00794B35" w:rsidRPr="00190574" w:rsidRDefault="00794B35" w:rsidP="002C599E">
      <w:pPr>
        <w:pStyle w:val="CoverText-Address"/>
        <w:rPr>
          <w:rFonts w:ascii="Times New Roman" w:hAnsi="Times New Roman"/>
          <w:color w:val="auto"/>
          <w:sz w:val="24"/>
        </w:rPr>
      </w:pPr>
    </w:p>
    <w:p w:rsidR="00794B35" w:rsidRPr="00190574" w:rsidRDefault="00794B35" w:rsidP="00794B35">
      <w:pPr>
        <w:tabs>
          <w:tab w:val="center" w:pos="4680"/>
        </w:tabs>
        <w:ind w:firstLine="0"/>
        <w:rPr>
          <w:rFonts w:ascii="Times New Roman" w:hAnsi="Times New Roman"/>
          <w:bCs/>
          <w:sz w:val="24"/>
        </w:rPr>
        <w:sectPr w:rsidR="00794B35" w:rsidRPr="00190574" w:rsidSect="001C000E">
          <w:headerReference w:type="default" r:id="rId10"/>
          <w:footerReference w:type="default" r:id="rId11"/>
          <w:headerReference w:type="first" r:id="rId12"/>
          <w:footerReference w:type="first" r:id="rId13"/>
          <w:pgSz w:w="12240" w:h="15840" w:code="1"/>
          <w:pgMar w:top="1440" w:right="1440" w:bottom="1440" w:left="1440" w:header="720" w:footer="720" w:gutter="0"/>
          <w:cols w:space="360"/>
          <w:docGrid w:linePitch="360"/>
        </w:sectPr>
      </w:pPr>
    </w:p>
    <w:p w:rsidR="00A17563" w:rsidRPr="00190574" w:rsidRDefault="00A17563" w:rsidP="00794B35">
      <w:pPr>
        <w:tabs>
          <w:tab w:val="center" w:pos="4680"/>
        </w:tabs>
        <w:ind w:firstLine="0"/>
        <w:rPr>
          <w:rFonts w:ascii="Times New Roman" w:hAnsi="Times New Roman"/>
          <w:bCs/>
          <w:sz w:val="24"/>
        </w:rPr>
      </w:pPr>
    </w:p>
    <w:sdt>
      <w:sdtPr>
        <w:rPr>
          <w:rFonts w:ascii="Times New Roman" w:eastAsia="Times New Roman" w:hAnsi="Times New Roman" w:cs="Times New Roman"/>
          <w:b w:val="0"/>
          <w:bCs w:val="0"/>
          <w:color w:val="auto"/>
          <w:sz w:val="24"/>
          <w:szCs w:val="24"/>
          <w:lang w:eastAsia="en-US"/>
        </w:rPr>
        <w:id w:val="-1899126592"/>
        <w:docPartObj>
          <w:docPartGallery w:val="Table of Contents"/>
          <w:docPartUnique/>
        </w:docPartObj>
      </w:sdtPr>
      <w:sdtEndPr>
        <w:rPr>
          <w:noProof/>
        </w:rPr>
      </w:sdtEndPr>
      <w:sdtContent>
        <w:p w:rsidR="002C599E" w:rsidRPr="00190574" w:rsidRDefault="00D4369C" w:rsidP="00776B74">
          <w:pPr>
            <w:pStyle w:val="TOCHeading"/>
            <w:spacing w:before="240"/>
            <w:rPr>
              <w:rFonts w:ascii="Times New Roman" w:hAnsi="Times New Roman" w:cs="Times New Roman"/>
              <w:color w:val="auto"/>
              <w:sz w:val="24"/>
              <w:szCs w:val="24"/>
            </w:rPr>
          </w:pPr>
          <w:r w:rsidRPr="00190574">
            <w:rPr>
              <w:rFonts w:ascii="Times New Roman" w:eastAsia="Times New Roman" w:hAnsi="Times New Roman" w:cs="Times New Roman"/>
              <w:bCs w:val="0"/>
              <w:color w:val="auto"/>
              <w:sz w:val="24"/>
              <w:szCs w:val="24"/>
              <w:lang w:eastAsia="en-US"/>
            </w:rPr>
            <w:t>Table of Contents</w:t>
          </w:r>
        </w:p>
        <w:p w:rsidR="0021591B" w:rsidRPr="00190574" w:rsidRDefault="002C599E">
          <w:pPr>
            <w:pStyle w:val="TOC1"/>
            <w:rPr>
              <w:rFonts w:asciiTheme="minorHAnsi" w:eastAsiaTheme="minorEastAsia" w:hAnsiTheme="minorHAnsi" w:cstheme="minorBidi"/>
              <w:noProof/>
              <w:sz w:val="24"/>
            </w:rPr>
          </w:pPr>
          <w:r w:rsidRPr="00190574">
            <w:rPr>
              <w:rFonts w:ascii="Times New Roman" w:hAnsi="Times New Roman"/>
              <w:sz w:val="24"/>
            </w:rPr>
            <w:fldChar w:fldCharType="begin"/>
          </w:r>
          <w:r w:rsidRPr="00190574">
            <w:rPr>
              <w:rFonts w:ascii="Times New Roman" w:hAnsi="Times New Roman"/>
              <w:sz w:val="24"/>
            </w:rPr>
            <w:instrText xml:space="preserve"> TOC \o "1-3" \h \z \u </w:instrText>
          </w:r>
          <w:r w:rsidRPr="00190574">
            <w:rPr>
              <w:rFonts w:ascii="Times New Roman" w:hAnsi="Times New Roman"/>
              <w:sz w:val="24"/>
            </w:rPr>
            <w:fldChar w:fldCharType="separate"/>
          </w:r>
          <w:hyperlink w:anchor="_Toc484000161" w:history="1">
            <w:r w:rsidR="0021591B" w:rsidRPr="00190574">
              <w:rPr>
                <w:rStyle w:val="Hyperlink"/>
                <w:rFonts w:ascii="Times New Roman" w:hAnsi="Times New Roman"/>
                <w:noProof/>
                <w:color w:val="auto"/>
                <w:sz w:val="24"/>
              </w:rPr>
              <w:t>1. Introduction</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_Toc484000161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1</w:t>
            </w:r>
            <w:r w:rsidR="0021591B" w:rsidRPr="00190574">
              <w:rPr>
                <w:noProof/>
                <w:webHidden/>
                <w:sz w:val="24"/>
              </w:rPr>
              <w:fldChar w:fldCharType="end"/>
            </w:r>
          </w:hyperlink>
        </w:p>
        <w:p w:rsidR="0021591B" w:rsidRPr="00190574" w:rsidRDefault="00190574">
          <w:pPr>
            <w:pStyle w:val="TOC1"/>
            <w:rPr>
              <w:rFonts w:asciiTheme="minorHAnsi" w:eastAsiaTheme="minorEastAsia" w:hAnsiTheme="minorHAnsi" w:cstheme="minorBidi"/>
              <w:noProof/>
              <w:sz w:val="24"/>
            </w:rPr>
          </w:pPr>
          <w:hyperlink w:anchor="_Toc484000162" w:history="1">
            <w:r w:rsidR="0021591B" w:rsidRPr="00190574">
              <w:rPr>
                <w:rStyle w:val="Hyperlink"/>
                <w:rFonts w:ascii="Times New Roman" w:hAnsi="Times New Roman"/>
                <w:noProof/>
                <w:color w:val="auto"/>
                <w:sz w:val="24"/>
              </w:rPr>
              <w:t>2. Source Classification Codes and Pollutants Included in ICI Tool</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_Toc484000162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2</w:t>
            </w:r>
            <w:r w:rsidR="0021591B" w:rsidRPr="00190574">
              <w:rPr>
                <w:noProof/>
                <w:webHidden/>
                <w:sz w:val="24"/>
              </w:rPr>
              <w:fldChar w:fldCharType="end"/>
            </w:r>
          </w:hyperlink>
        </w:p>
        <w:p w:rsidR="0021591B" w:rsidRPr="00190574" w:rsidRDefault="00190574">
          <w:pPr>
            <w:pStyle w:val="TOC1"/>
            <w:rPr>
              <w:rFonts w:asciiTheme="minorHAnsi" w:eastAsiaTheme="minorEastAsia" w:hAnsiTheme="minorHAnsi" w:cstheme="minorBidi"/>
              <w:noProof/>
              <w:sz w:val="24"/>
            </w:rPr>
          </w:pPr>
          <w:hyperlink w:anchor="_Toc484000163" w:history="1">
            <w:r w:rsidR="0021591B" w:rsidRPr="00190574">
              <w:rPr>
                <w:rStyle w:val="Hyperlink"/>
                <w:rFonts w:ascii="Times New Roman" w:hAnsi="Times New Roman"/>
                <w:noProof/>
                <w:color w:val="auto"/>
                <w:sz w:val="24"/>
              </w:rPr>
              <w:t>3. Overview of Calculations</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_Toc484000163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4</w:t>
            </w:r>
            <w:r w:rsidR="0021591B" w:rsidRPr="00190574">
              <w:rPr>
                <w:noProof/>
                <w:webHidden/>
                <w:sz w:val="24"/>
              </w:rPr>
              <w:fldChar w:fldCharType="end"/>
            </w:r>
          </w:hyperlink>
        </w:p>
        <w:p w:rsidR="0021591B" w:rsidRPr="00190574" w:rsidRDefault="00190574">
          <w:pPr>
            <w:pStyle w:val="TOC1"/>
            <w:rPr>
              <w:rFonts w:asciiTheme="minorHAnsi" w:eastAsiaTheme="minorEastAsia" w:hAnsiTheme="minorHAnsi" w:cstheme="minorBidi"/>
              <w:noProof/>
              <w:sz w:val="24"/>
            </w:rPr>
          </w:pPr>
          <w:hyperlink w:anchor="_Toc484000164" w:history="1">
            <w:r w:rsidR="0021591B" w:rsidRPr="00190574">
              <w:rPr>
                <w:rStyle w:val="Hyperlink"/>
                <w:rFonts w:ascii="Times New Roman" w:hAnsi="Times New Roman"/>
                <w:noProof/>
                <w:color w:val="auto"/>
                <w:sz w:val="24"/>
              </w:rPr>
              <w:t>4. Activity Data Adjustments</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_Toc484000164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5</w:t>
            </w:r>
            <w:r w:rsidR="0021591B" w:rsidRPr="00190574">
              <w:rPr>
                <w:noProof/>
                <w:webHidden/>
                <w:sz w:val="24"/>
              </w:rPr>
              <w:fldChar w:fldCharType="end"/>
            </w:r>
          </w:hyperlink>
        </w:p>
        <w:p w:rsidR="0021591B" w:rsidRPr="00190574" w:rsidRDefault="00190574">
          <w:pPr>
            <w:pStyle w:val="TOC2"/>
            <w:tabs>
              <w:tab w:val="right" w:leader="dot" w:pos="9350"/>
            </w:tabs>
            <w:rPr>
              <w:rFonts w:asciiTheme="minorHAnsi" w:eastAsiaTheme="minorEastAsia" w:hAnsiTheme="minorHAnsi" w:cstheme="minorBidi"/>
              <w:noProof/>
              <w:sz w:val="24"/>
            </w:rPr>
          </w:pPr>
          <w:hyperlink w:anchor="_Toc484000165" w:history="1">
            <w:r w:rsidR="0021591B" w:rsidRPr="00190574">
              <w:rPr>
                <w:rStyle w:val="Hyperlink"/>
                <w:rFonts w:ascii="Times New Roman" w:hAnsi="Times New Roman"/>
                <w:noProof/>
                <w:color w:val="auto"/>
                <w:sz w:val="24"/>
              </w:rPr>
              <w:t>4.1 Fuel Specific Data Adjustments</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_Toc484000165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5</w:t>
            </w:r>
            <w:r w:rsidR="0021591B" w:rsidRPr="00190574">
              <w:rPr>
                <w:noProof/>
                <w:webHidden/>
                <w:sz w:val="24"/>
              </w:rPr>
              <w:fldChar w:fldCharType="end"/>
            </w:r>
          </w:hyperlink>
        </w:p>
        <w:p w:rsidR="0021591B" w:rsidRPr="00190574" w:rsidRDefault="00190574">
          <w:pPr>
            <w:pStyle w:val="TOC2"/>
            <w:tabs>
              <w:tab w:val="right" w:leader="dot" w:pos="9350"/>
            </w:tabs>
            <w:rPr>
              <w:rFonts w:asciiTheme="minorHAnsi" w:eastAsiaTheme="minorEastAsia" w:hAnsiTheme="minorHAnsi" w:cstheme="minorBidi"/>
              <w:noProof/>
              <w:sz w:val="24"/>
            </w:rPr>
          </w:pPr>
          <w:hyperlink w:anchor="_Toc484000166" w:history="1">
            <w:r w:rsidR="0021591B" w:rsidRPr="00190574">
              <w:rPr>
                <w:rStyle w:val="Hyperlink"/>
                <w:rFonts w:ascii="Times New Roman" w:hAnsi="Times New Roman"/>
                <w:noProof/>
                <w:color w:val="auto"/>
                <w:sz w:val="24"/>
              </w:rPr>
              <w:t>4.2 Non-fuel Use Energy Adjustment</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_Toc484000166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7</w:t>
            </w:r>
            <w:r w:rsidR="0021591B" w:rsidRPr="00190574">
              <w:rPr>
                <w:noProof/>
                <w:webHidden/>
                <w:sz w:val="24"/>
              </w:rPr>
              <w:fldChar w:fldCharType="end"/>
            </w:r>
          </w:hyperlink>
        </w:p>
        <w:p w:rsidR="0021591B" w:rsidRPr="00190574" w:rsidRDefault="00190574">
          <w:pPr>
            <w:pStyle w:val="TOC2"/>
            <w:tabs>
              <w:tab w:val="right" w:leader="dot" w:pos="9350"/>
            </w:tabs>
            <w:rPr>
              <w:rFonts w:asciiTheme="minorHAnsi" w:eastAsiaTheme="minorEastAsia" w:hAnsiTheme="minorHAnsi" w:cstheme="minorBidi"/>
              <w:noProof/>
              <w:sz w:val="24"/>
            </w:rPr>
          </w:pPr>
          <w:hyperlink w:anchor="_Toc484000167" w:history="1">
            <w:r w:rsidR="0021591B" w:rsidRPr="00190574">
              <w:rPr>
                <w:rStyle w:val="Hyperlink"/>
                <w:rFonts w:ascii="Times New Roman" w:hAnsi="Times New Roman"/>
                <w:noProof/>
                <w:color w:val="auto"/>
                <w:sz w:val="24"/>
              </w:rPr>
              <w:t>4.3 Point Source Energy Adjustment</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_Toc484000167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7</w:t>
            </w:r>
            <w:r w:rsidR="0021591B" w:rsidRPr="00190574">
              <w:rPr>
                <w:noProof/>
                <w:webHidden/>
                <w:sz w:val="24"/>
              </w:rPr>
              <w:fldChar w:fldCharType="end"/>
            </w:r>
          </w:hyperlink>
        </w:p>
        <w:p w:rsidR="0021591B" w:rsidRPr="00190574" w:rsidRDefault="00190574">
          <w:pPr>
            <w:pStyle w:val="TOC1"/>
            <w:rPr>
              <w:rFonts w:asciiTheme="minorHAnsi" w:eastAsiaTheme="minorEastAsia" w:hAnsiTheme="minorHAnsi" w:cstheme="minorBidi"/>
              <w:noProof/>
              <w:sz w:val="24"/>
            </w:rPr>
          </w:pPr>
          <w:hyperlink w:anchor="_Toc484000168" w:history="1">
            <w:r w:rsidR="0021591B" w:rsidRPr="00190574">
              <w:rPr>
                <w:rStyle w:val="Hyperlink"/>
                <w:rFonts w:ascii="Times New Roman" w:hAnsi="Times New Roman"/>
                <w:noProof/>
                <w:color w:val="auto"/>
                <w:sz w:val="24"/>
              </w:rPr>
              <w:t>5. County Allocation of State Activity</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_Toc484000168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9</w:t>
            </w:r>
            <w:r w:rsidR="0021591B" w:rsidRPr="00190574">
              <w:rPr>
                <w:noProof/>
                <w:webHidden/>
                <w:sz w:val="24"/>
              </w:rPr>
              <w:fldChar w:fldCharType="end"/>
            </w:r>
          </w:hyperlink>
        </w:p>
        <w:p w:rsidR="0021591B" w:rsidRPr="00190574" w:rsidRDefault="00190574">
          <w:pPr>
            <w:pStyle w:val="TOC1"/>
            <w:rPr>
              <w:rFonts w:asciiTheme="minorHAnsi" w:eastAsiaTheme="minorEastAsia" w:hAnsiTheme="minorHAnsi" w:cstheme="minorBidi"/>
              <w:noProof/>
              <w:sz w:val="24"/>
            </w:rPr>
          </w:pPr>
          <w:hyperlink w:anchor="_Toc484000169" w:history="1">
            <w:r w:rsidR="0021591B" w:rsidRPr="00190574">
              <w:rPr>
                <w:rStyle w:val="Hyperlink"/>
                <w:rFonts w:ascii="Times New Roman" w:hAnsi="Times New Roman"/>
                <w:noProof/>
                <w:color w:val="auto"/>
                <w:sz w:val="24"/>
              </w:rPr>
              <w:t>6. Emission Factors</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_Toc484000169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11</w:t>
            </w:r>
            <w:r w:rsidR="0021591B" w:rsidRPr="00190574">
              <w:rPr>
                <w:noProof/>
                <w:webHidden/>
                <w:sz w:val="24"/>
              </w:rPr>
              <w:fldChar w:fldCharType="end"/>
            </w:r>
          </w:hyperlink>
        </w:p>
        <w:p w:rsidR="0021591B" w:rsidRPr="00190574" w:rsidRDefault="00190574">
          <w:pPr>
            <w:pStyle w:val="TOC1"/>
            <w:rPr>
              <w:rFonts w:asciiTheme="minorHAnsi" w:eastAsiaTheme="minorEastAsia" w:hAnsiTheme="minorHAnsi" w:cstheme="minorBidi"/>
              <w:noProof/>
              <w:sz w:val="24"/>
            </w:rPr>
          </w:pPr>
          <w:hyperlink w:anchor="_Toc484000170" w:history="1">
            <w:r w:rsidR="0021591B" w:rsidRPr="00190574">
              <w:rPr>
                <w:rStyle w:val="Hyperlink"/>
                <w:rFonts w:ascii="Times New Roman" w:hAnsi="Times New Roman"/>
                <w:noProof/>
                <w:color w:val="auto"/>
                <w:sz w:val="24"/>
              </w:rPr>
              <w:t>7. Running the ICI Tool</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_Toc484000170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12</w:t>
            </w:r>
            <w:r w:rsidR="0021591B" w:rsidRPr="00190574">
              <w:rPr>
                <w:noProof/>
                <w:webHidden/>
                <w:sz w:val="24"/>
              </w:rPr>
              <w:fldChar w:fldCharType="end"/>
            </w:r>
          </w:hyperlink>
        </w:p>
        <w:p w:rsidR="0021591B" w:rsidRPr="00190574" w:rsidRDefault="00190574">
          <w:pPr>
            <w:pStyle w:val="TOC1"/>
            <w:rPr>
              <w:rFonts w:asciiTheme="minorHAnsi" w:eastAsiaTheme="minorEastAsia" w:hAnsiTheme="minorHAnsi" w:cstheme="minorBidi"/>
              <w:noProof/>
              <w:sz w:val="24"/>
            </w:rPr>
          </w:pPr>
          <w:hyperlink w:anchor="_Toc484000171" w:history="1">
            <w:r w:rsidR="0021591B" w:rsidRPr="00190574">
              <w:rPr>
                <w:rStyle w:val="Hyperlink"/>
                <w:rFonts w:ascii="Times New Roman" w:hAnsi="Times New Roman"/>
                <w:noProof/>
                <w:color w:val="auto"/>
                <w:sz w:val="24"/>
              </w:rPr>
              <w:t>8. References</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_Toc484000171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15</w:t>
            </w:r>
            <w:r w:rsidR="0021591B" w:rsidRPr="00190574">
              <w:rPr>
                <w:noProof/>
                <w:webHidden/>
                <w:sz w:val="24"/>
              </w:rPr>
              <w:fldChar w:fldCharType="end"/>
            </w:r>
          </w:hyperlink>
        </w:p>
        <w:p w:rsidR="0021591B" w:rsidRPr="00190574" w:rsidRDefault="00190574">
          <w:pPr>
            <w:pStyle w:val="TOC1"/>
            <w:rPr>
              <w:rFonts w:asciiTheme="minorHAnsi" w:eastAsiaTheme="minorEastAsia" w:hAnsiTheme="minorHAnsi" w:cstheme="minorBidi"/>
              <w:noProof/>
              <w:sz w:val="24"/>
            </w:rPr>
          </w:pPr>
          <w:hyperlink w:anchor="_Toc484000172" w:history="1">
            <w:r w:rsidR="0021591B" w:rsidRPr="00190574">
              <w:rPr>
                <w:rStyle w:val="Hyperlink"/>
                <w:rFonts w:ascii="Times New Roman" w:hAnsi="Times New Roman"/>
                <w:noProof/>
                <w:color w:val="auto"/>
                <w:sz w:val="24"/>
              </w:rPr>
              <w:t>Appendix A. SCC Crosswalks and Emission Factors</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_Toc484000172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17</w:t>
            </w:r>
            <w:r w:rsidR="0021591B" w:rsidRPr="00190574">
              <w:rPr>
                <w:noProof/>
                <w:webHidden/>
                <w:sz w:val="24"/>
              </w:rPr>
              <w:fldChar w:fldCharType="end"/>
            </w:r>
          </w:hyperlink>
        </w:p>
        <w:p w:rsidR="002C599E" w:rsidRPr="00190574" w:rsidRDefault="002C599E">
          <w:pPr>
            <w:rPr>
              <w:rFonts w:ascii="Times New Roman" w:hAnsi="Times New Roman"/>
              <w:sz w:val="24"/>
            </w:rPr>
          </w:pPr>
          <w:r w:rsidRPr="00190574">
            <w:rPr>
              <w:rFonts w:ascii="Times New Roman" w:hAnsi="Times New Roman"/>
              <w:b/>
              <w:bCs/>
              <w:noProof/>
              <w:sz w:val="24"/>
            </w:rPr>
            <w:fldChar w:fldCharType="end"/>
          </w:r>
        </w:p>
      </w:sdtContent>
    </w:sdt>
    <w:p w:rsidR="00794B35" w:rsidRPr="00190574" w:rsidRDefault="00794B35">
      <w:pPr>
        <w:ind w:firstLine="0"/>
        <w:rPr>
          <w:rFonts w:ascii="Times New Roman" w:hAnsi="Times New Roman"/>
          <w:sz w:val="24"/>
        </w:rPr>
      </w:pPr>
    </w:p>
    <w:p w:rsidR="0021591B" w:rsidRPr="00190574" w:rsidRDefault="00D4369C" w:rsidP="00D4369C">
      <w:pPr>
        <w:pStyle w:val="TableofFigures"/>
        <w:tabs>
          <w:tab w:val="right" w:leader="dot" w:pos="9350"/>
        </w:tabs>
        <w:ind w:left="0" w:firstLine="0"/>
        <w:rPr>
          <w:noProof/>
          <w:sz w:val="24"/>
        </w:rPr>
      </w:pPr>
      <w:r w:rsidRPr="00190574">
        <w:rPr>
          <w:rFonts w:ascii="Times New Roman" w:hAnsi="Times New Roman"/>
          <w:b/>
          <w:sz w:val="24"/>
        </w:rPr>
        <w:t>Figures</w:t>
      </w:r>
      <w:r w:rsidR="002C599E" w:rsidRPr="00190574">
        <w:rPr>
          <w:rFonts w:ascii="Times New Roman" w:hAnsi="Times New Roman"/>
          <w:sz w:val="24"/>
        </w:rPr>
        <w:fldChar w:fldCharType="begin"/>
      </w:r>
      <w:r w:rsidR="002C599E" w:rsidRPr="00190574">
        <w:rPr>
          <w:rFonts w:ascii="Times New Roman" w:hAnsi="Times New Roman"/>
          <w:sz w:val="24"/>
        </w:rPr>
        <w:instrText xml:space="preserve"> TOC \h \z \c "Figure" </w:instrText>
      </w:r>
      <w:r w:rsidR="002C599E" w:rsidRPr="00190574">
        <w:rPr>
          <w:rFonts w:ascii="Times New Roman" w:hAnsi="Times New Roman"/>
          <w:sz w:val="24"/>
        </w:rPr>
        <w:fldChar w:fldCharType="separate"/>
      </w:r>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73" w:history="1">
        <w:r w:rsidR="0021591B" w:rsidRPr="00190574">
          <w:rPr>
            <w:rStyle w:val="Hyperlink"/>
            <w:rFonts w:ascii="Times New Roman" w:hAnsi="Times New Roman"/>
            <w:noProof/>
            <w:color w:val="auto"/>
            <w:sz w:val="24"/>
          </w:rPr>
          <w:t>Figure 1. Snapshot of state selection interface</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_Toc484000173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12</w:t>
        </w:r>
        <w:r w:rsidR="0021591B" w:rsidRPr="00190574">
          <w:rPr>
            <w:noProof/>
            <w:webHidden/>
            <w:sz w:val="24"/>
          </w:rPr>
          <w:fldChar w:fldCharType="end"/>
        </w:r>
      </w:hyperlink>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74" w:history="1">
        <w:r w:rsidR="0021591B" w:rsidRPr="00190574">
          <w:rPr>
            <w:rStyle w:val="Hyperlink"/>
            <w:rFonts w:ascii="Times New Roman" w:hAnsi="Times New Roman"/>
            <w:noProof/>
            <w:color w:val="auto"/>
            <w:sz w:val="24"/>
          </w:rPr>
          <w:t>Figure 2. Snapshot of point source activity data import interface</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_Toc484000174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12</w:t>
        </w:r>
        <w:r w:rsidR="0021591B" w:rsidRPr="00190574">
          <w:rPr>
            <w:noProof/>
            <w:webHidden/>
            <w:sz w:val="24"/>
          </w:rPr>
          <w:fldChar w:fldCharType="end"/>
        </w:r>
      </w:hyperlink>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75" w:history="1">
        <w:r w:rsidR="0021591B" w:rsidRPr="00190574">
          <w:rPr>
            <w:rStyle w:val="Hyperlink"/>
            <w:rFonts w:ascii="Times New Roman" w:hAnsi="Times New Roman"/>
            <w:noProof/>
            <w:color w:val="auto"/>
            <w:sz w:val="24"/>
          </w:rPr>
          <w:t>Figure 3. Snapshot of point source emissions data import interface</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_Toc484000175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13</w:t>
        </w:r>
        <w:r w:rsidR="0021591B" w:rsidRPr="00190574">
          <w:rPr>
            <w:noProof/>
            <w:webHidden/>
            <w:sz w:val="24"/>
          </w:rPr>
          <w:fldChar w:fldCharType="end"/>
        </w:r>
      </w:hyperlink>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76" w:history="1">
        <w:r w:rsidR="0021591B" w:rsidRPr="00190574">
          <w:rPr>
            <w:rStyle w:val="Hyperlink"/>
            <w:rFonts w:ascii="Times New Roman" w:hAnsi="Times New Roman"/>
            <w:noProof/>
            <w:color w:val="auto"/>
            <w:sz w:val="24"/>
          </w:rPr>
          <w:t>Figure 4. Snapshot of assumptions interface</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_Toc484000176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13</w:t>
        </w:r>
        <w:r w:rsidR="0021591B" w:rsidRPr="00190574">
          <w:rPr>
            <w:noProof/>
            <w:webHidden/>
            <w:sz w:val="24"/>
          </w:rPr>
          <w:fldChar w:fldCharType="end"/>
        </w:r>
      </w:hyperlink>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77" w:history="1">
        <w:r w:rsidR="0021591B" w:rsidRPr="00190574">
          <w:rPr>
            <w:rStyle w:val="Hyperlink"/>
            <w:rFonts w:ascii="Times New Roman" w:hAnsi="Times New Roman"/>
            <w:noProof/>
            <w:color w:val="auto"/>
            <w:sz w:val="24"/>
          </w:rPr>
          <w:t>Figure 5. Snapshot of Document Header interface</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_Toc484000177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14</w:t>
        </w:r>
        <w:r w:rsidR="0021591B" w:rsidRPr="00190574">
          <w:rPr>
            <w:noProof/>
            <w:webHidden/>
            <w:sz w:val="24"/>
          </w:rPr>
          <w:fldChar w:fldCharType="end"/>
        </w:r>
      </w:hyperlink>
    </w:p>
    <w:p w:rsidR="002C599E" w:rsidRPr="00190574" w:rsidRDefault="002C599E">
      <w:pPr>
        <w:ind w:firstLine="0"/>
        <w:rPr>
          <w:rFonts w:ascii="Times New Roman" w:hAnsi="Times New Roman"/>
          <w:sz w:val="24"/>
        </w:rPr>
      </w:pPr>
      <w:r w:rsidRPr="00190574">
        <w:rPr>
          <w:rFonts w:ascii="Times New Roman" w:hAnsi="Times New Roman"/>
          <w:sz w:val="24"/>
        </w:rPr>
        <w:fldChar w:fldCharType="end"/>
      </w:r>
    </w:p>
    <w:p w:rsidR="00794B35" w:rsidRPr="00190574" w:rsidRDefault="00794B35">
      <w:pPr>
        <w:ind w:firstLine="0"/>
        <w:rPr>
          <w:rFonts w:ascii="Times New Roman" w:hAnsi="Times New Roman"/>
          <w:sz w:val="24"/>
        </w:rPr>
      </w:pPr>
    </w:p>
    <w:p w:rsidR="0021591B" w:rsidRPr="00190574" w:rsidRDefault="00D4369C" w:rsidP="00D4369C">
      <w:pPr>
        <w:pStyle w:val="TableofFigures"/>
        <w:tabs>
          <w:tab w:val="right" w:leader="dot" w:pos="9350"/>
        </w:tabs>
        <w:ind w:left="0" w:firstLine="0"/>
        <w:rPr>
          <w:noProof/>
          <w:sz w:val="24"/>
        </w:rPr>
      </w:pPr>
      <w:r w:rsidRPr="00190574">
        <w:rPr>
          <w:rFonts w:ascii="Times New Roman" w:hAnsi="Times New Roman"/>
          <w:b/>
          <w:sz w:val="24"/>
        </w:rPr>
        <w:t>Tables</w:t>
      </w:r>
      <w:r w:rsidR="007C62D2" w:rsidRPr="00190574">
        <w:rPr>
          <w:rFonts w:ascii="Times New Roman" w:hAnsi="Times New Roman"/>
          <w:sz w:val="24"/>
        </w:rPr>
        <w:fldChar w:fldCharType="begin"/>
      </w:r>
      <w:r w:rsidR="007C62D2" w:rsidRPr="00190574">
        <w:rPr>
          <w:rFonts w:ascii="Times New Roman" w:hAnsi="Times New Roman"/>
          <w:sz w:val="24"/>
        </w:rPr>
        <w:instrText xml:space="preserve"> TOC \h \z \c "Table" </w:instrText>
      </w:r>
      <w:r w:rsidR="007C62D2" w:rsidRPr="00190574">
        <w:rPr>
          <w:rFonts w:ascii="Times New Roman" w:hAnsi="Times New Roman"/>
          <w:sz w:val="24"/>
        </w:rPr>
        <w:fldChar w:fldCharType="separate"/>
      </w:r>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78" w:history="1">
        <w:r w:rsidR="0021591B" w:rsidRPr="00190574">
          <w:rPr>
            <w:rStyle w:val="Hyperlink"/>
            <w:rFonts w:ascii="Times New Roman" w:hAnsi="Times New Roman"/>
            <w:b/>
            <w:noProof/>
            <w:color w:val="auto"/>
            <w:sz w:val="24"/>
          </w:rPr>
          <w:t xml:space="preserve">Table 1. </w:t>
        </w:r>
        <w:r w:rsidR="0021591B" w:rsidRPr="00190574">
          <w:rPr>
            <w:rStyle w:val="Hyperlink"/>
            <w:rFonts w:ascii="Times New Roman" w:hAnsi="Times New Roman"/>
            <w:noProof/>
            <w:color w:val="auto"/>
            <w:sz w:val="24"/>
          </w:rPr>
          <w:t>Source Categories Included in ICI Tool</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_Toc484000178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2</w:t>
        </w:r>
        <w:r w:rsidR="0021591B" w:rsidRPr="00190574">
          <w:rPr>
            <w:noProof/>
            <w:webHidden/>
            <w:sz w:val="24"/>
          </w:rPr>
          <w:fldChar w:fldCharType="end"/>
        </w:r>
      </w:hyperlink>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79" w:history="1">
        <w:r w:rsidR="0021591B" w:rsidRPr="00190574">
          <w:rPr>
            <w:rStyle w:val="Hyperlink"/>
            <w:rFonts w:ascii="Times New Roman" w:hAnsi="Times New Roman"/>
            <w:noProof/>
            <w:color w:val="auto"/>
            <w:sz w:val="24"/>
          </w:rPr>
          <w:t>Table 2. Pollutants Included in ICI Tool</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_Toc484000179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3</w:t>
        </w:r>
        <w:r w:rsidR="0021591B" w:rsidRPr="00190574">
          <w:rPr>
            <w:noProof/>
            <w:webHidden/>
            <w:sz w:val="24"/>
          </w:rPr>
          <w:fldChar w:fldCharType="end"/>
        </w:r>
      </w:hyperlink>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80" w:history="1">
        <w:r w:rsidR="0021591B" w:rsidRPr="00190574">
          <w:rPr>
            <w:rStyle w:val="Hyperlink"/>
            <w:rFonts w:ascii="Times New Roman" w:hAnsi="Times New Roman"/>
            <w:noProof/>
            <w:color w:val="auto"/>
            <w:sz w:val="24"/>
          </w:rPr>
          <w:t>Table 3. Stationary Source Adjustments for Industrial Sector Distillate Fuel Consumption</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_Toc484000180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5</w:t>
        </w:r>
        <w:r w:rsidR="0021591B" w:rsidRPr="00190574">
          <w:rPr>
            <w:noProof/>
            <w:webHidden/>
            <w:sz w:val="24"/>
          </w:rPr>
          <w:fldChar w:fldCharType="end"/>
        </w:r>
      </w:hyperlink>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81" w:history="1">
        <w:r w:rsidR="0021591B" w:rsidRPr="00190574">
          <w:rPr>
            <w:rStyle w:val="Hyperlink"/>
            <w:rFonts w:ascii="Times New Roman" w:hAnsi="Times New Roman"/>
            <w:noProof/>
            <w:color w:val="auto"/>
            <w:sz w:val="24"/>
          </w:rPr>
          <w:t>Table 4.</w:t>
        </w:r>
        <w:r w:rsidR="0021591B" w:rsidRPr="00190574">
          <w:rPr>
            <w:rStyle w:val="Hyperlink"/>
            <w:noProof/>
            <w:color w:val="auto"/>
            <w:sz w:val="24"/>
          </w:rPr>
          <w:t xml:space="preserve"> </w:t>
        </w:r>
        <w:r w:rsidR="0021591B" w:rsidRPr="00190574">
          <w:rPr>
            <w:rStyle w:val="Hyperlink"/>
            <w:rFonts w:ascii="Times New Roman" w:hAnsi="Times New Roman"/>
            <w:noProof/>
            <w:color w:val="auto"/>
            <w:sz w:val="24"/>
          </w:rPr>
          <w:t>Stationary Source Adjustments for Commercial Sector Distillate Fuel Consumption</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_Toc484000181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6</w:t>
        </w:r>
        <w:r w:rsidR="0021591B" w:rsidRPr="00190574">
          <w:rPr>
            <w:noProof/>
            <w:webHidden/>
            <w:sz w:val="24"/>
          </w:rPr>
          <w:fldChar w:fldCharType="end"/>
        </w:r>
      </w:hyperlink>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82" w:history="1">
        <w:r w:rsidR="0021591B" w:rsidRPr="00190574">
          <w:rPr>
            <w:rStyle w:val="Hyperlink"/>
            <w:rFonts w:ascii="Times New Roman" w:hAnsi="Times New Roman"/>
            <w:noProof/>
            <w:color w:val="auto"/>
            <w:sz w:val="24"/>
          </w:rPr>
          <w:t>Table 5. Default assumptions for distillate boiler/engine split</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_Toc484000182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7</w:t>
        </w:r>
        <w:r w:rsidR="0021591B" w:rsidRPr="00190574">
          <w:rPr>
            <w:noProof/>
            <w:webHidden/>
            <w:sz w:val="24"/>
          </w:rPr>
          <w:fldChar w:fldCharType="end"/>
        </w:r>
      </w:hyperlink>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83" w:history="1">
        <w:r w:rsidR="0021591B" w:rsidRPr="00190574">
          <w:rPr>
            <w:rStyle w:val="Hyperlink"/>
            <w:rFonts w:ascii="Times New Roman" w:hAnsi="Times New Roman"/>
            <w:noProof/>
            <w:color w:val="auto"/>
            <w:sz w:val="24"/>
          </w:rPr>
          <w:t>Table 6. Industrial Sector Non-Fuel Use Estimates</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_Toc484000183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7</w:t>
        </w:r>
        <w:r w:rsidR="0021591B" w:rsidRPr="00190574">
          <w:rPr>
            <w:noProof/>
            <w:webHidden/>
            <w:sz w:val="24"/>
          </w:rPr>
          <w:fldChar w:fldCharType="end"/>
        </w:r>
      </w:hyperlink>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84" w:history="1">
        <w:r w:rsidR="0021591B" w:rsidRPr="00190574">
          <w:rPr>
            <w:rStyle w:val="Hyperlink"/>
            <w:rFonts w:ascii="Times New Roman" w:hAnsi="Times New Roman"/>
            <w:noProof/>
            <w:color w:val="auto"/>
            <w:sz w:val="24"/>
          </w:rPr>
          <w:t>Table 7. NAICS Code 31-33 (Manufacturing) Employment Data for Maine</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_Toc484000184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10</w:t>
        </w:r>
        <w:r w:rsidR="0021591B" w:rsidRPr="00190574">
          <w:rPr>
            <w:noProof/>
            <w:webHidden/>
            <w:sz w:val="24"/>
          </w:rPr>
          <w:fldChar w:fldCharType="end"/>
        </w:r>
      </w:hyperlink>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85" w:history="1">
        <w:r w:rsidR="0021591B" w:rsidRPr="00190574">
          <w:rPr>
            <w:rStyle w:val="Hyperlink"/>
            <w:rFonts w:ascii="Times New Roman" w:hAnsi="Times New Roman"/>
            <w:noProof/>
            <w:color w:val="auto"/>
            <w:sz w:val="24"/>
          </w:rPr>
          <w:t>Table A-1. Industrial Fuel Combustion Crosswalk for Point Source Subtractions</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_Toc484000185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17</w:t>
        </w:r>
        <w:r w:rsidR="0021591B" w:rsidRPr="00190574">
          <w:rPr>
            <w:noProof/>
            <w:webHidden/>
            <w:sz w:val="24"/>
          </w:rPr>
          <w:fldChar w:fldCharType="end"/>
        </w:r>
      </w:hyperlink>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86" w:history="1">
        <w:r w:rsidR="0021591B" w:rsidRPr="00190574">
          <w:rPr>
            <w:rStyle w:val="Hyperlink"/>
            <w:rFonts w:ascii="Times New Roman" w:hAnsi="Times New Roman"/>
            <w:noProof/>
            <w:color w:val="auto"/>
            <w:sz w:val="24"/>
          </w:rPr>
          <w:t>Table A-2.</w:t>
        </w:r>
        <w:r w:rsidR="0021591B" w:rsidRPr="00190574">
          <w:rPr>
            <w:rStyle w:val="Hyperlink"/>
            <w:noProof/>
            <w:color w:val="auto"/>
            <w:sz w:val="24"/>
          </w:rPr>
          <w:t xml:space="preserve"> </w:t>
        </w:r>
        <w:r w:rsidR="0021591B" w:rsidRPr="00190574">
          <w:rPr>
            <w:rStyle w:val="Hyperlink"/>
            <w:rFonts w:ascii="Times New Roman" w:hAnsi="Times New Roman"/>
            <w:noProof/>
            <w:color w:val="auto"/>
            <w:sz w:val="24"/>
          </w:rPr>
          <w:t>Commercial/Institutional Fuel Combustion Crosswalk for Point Source Subtractions</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_Toc484000186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32</w:t>
        </w:r>
        <w:r w:rsidR="0021591B" w:rsidRPr="00190574">
          <w:rPr>
            <w:noProof/>
            <w:webHidden/>
            <w:sz w:val="24"/>
          </w:rPr>
          <w:fldChar w:fldCharType="end"/>
        </w:r>
      </w:hyperlink>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87" w:history="1">
        <w:r w:rsidR="0021591B" w:rsidRPr="00190574">
          <w:rPr>
            <w:rStyle w:val="Hyperlink"/>
            <w:rFonts w:ascii="Times New Roman" w:hAnsi="Times New Roman"/>
            <w:noProof/>
            <w:color w:val="auto"/>
            <w:sz w:val="24"/>
          </w:rPr>
          <w:t>Table A-3. Criteria Pollutant Emission Factors for ICI Area Source Categories</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_Toc484000187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37</w:t>
        </w:r>
        <w:r w:rsidR="0021591B" w:rsidRPr="00190574">
          <w:rPr>
            <w:noProof/>
            <w:webHidden/>
            <w:sz w:val="24"/>
          </w:rPr>
          <w:fldChar w:fldCharType="end"/>
        </w:r>
      </w:hyperlink>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88" w:history="1">
        <w:r w:rsidR="0021591B" w:rsidRPr="00190574">
          <w:rPr>
            <w:rStyle w:val="Hyperlink"/>
            <w:rFonts w:ascii="Times New Roman" w:hAnsi="Times New Roman"/>
            <w:noProof/>
            <w:color w:val="auto"/>
            <w:sz w:val="24"/>
          </w:rPr>
          <w:t>Table A-4. Speciation factors for HAP VOCs. These factors are multiplied by VOC emissions to estimate emissions for each HAP.</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_Toc484000188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38</w:t>
        </w:r>
        <w:r w:rsidR="0021591B" w:rsidRPr="00190574">
          <w:rPr>
            <w:noProof/>
            <w:webHidden/>
            <w:sz w:val="24"/>
          </w:rPr>
          <w:fldChar w:fldCharType="end"/>
        </w:r>
      </w:hyperlink>
    </w:p>
    <w:p w:rsidR="0021591B" w:rsidRPr="00190574" w:rsidRDefault="00190574">
      <w:pPr>
        <w:pStyle w:val="TableofFigures"/>
        <w:tabs>
          <w:tab w:val="right" w:leader="dot" w:pos="9350"/>
        </w:tabs>
        <w:rPr>
          <w:rFonts w:asciiTheme="minorHAnsi" w:eastAsiaTheme="minorEastAsia" w:hAnsiTheme="minorHAnsi" w:cstheme="minorBidi"/>
          <w:noProof/>
          <w:sz w:val="24"/>
        </w:rPr>
      </w:pPr>
      <w:hyperlink w:anchor="_Toc484000189" w:history="1">
        <w:r w:rsidR="0021591B" w:rsidRPr="00190574">
          <w:rPr>
            <w:rStyle w:val="Hyperlink"/>
            <w:rFonts w:ascii="Times New Roman Bold" w:hAnsi="Times New Roman Bold"/>
            <w:noProof/>
            <w:color w:val="auto"/>
            <w:sz w:val="24"/>
          </w:rPr>
          <w:t>Table A-5. Speciation factors for non-VOC HAPs. Factors are multiplied by PM25-PRI emissions to estimate emissions for each HAP.</w:t>
        </w:r>
        <w:r w:rsidR="0021591B" w:rsidRPr="00190574">
          <w:rPr>
            <w:noProof/>
            <w:webHidden/>
            <w:sz w:val="24"/>
          </w:rPr>
          <w:tab/>
        </w:r>
        <w:r w:rsidR="0021591B" w:rsidRPr="00190574">
          <w:rPr>
            <w:noProof/>
            <w:webHidden/>
            <w:sz w:val="24"/>
          </w:rPr>
          <w:fldChar w:fldCharType="begin"/>
        </w:r>
        <w:r w:rsidR="0021591B" w:rsidRPr="00190574">
          <w:rPr>
            <w:noProof/>
            <w:webHidden/>
            <w:sz w:val="24"/>
          </w:rPr>
          <w:instrText xml:space="preserve"> PAGEREF _Toc484000189 \h </w:instrText>
        </w:r>
        <w:r w:rsidR="0021591B" w:rsidRPr="00190574">
          <w:rPr>
            <w:noProof/>
            <w:webHidden/>
            <w:sz w:val="24"/>
          </w:rPr>
        </w:r>
        <w:r w:rsidR="0021591B" w:rsidRPr="00190574">
          <w:rPr>
            <w:noProof/>
            <w:webHidden/>
            <w:sz w:val="24"/>
          </w:rPr>
          <w:fldChar w:fldCharType="separate"/>
        </w:r>
        <w:r w:rsidR="0021591B" w:rsidRPr="00190574">
          <w:rPr>
            <w:noProof/>
            <w:webHidden/>
            <w:sz w:val="24"/>
          </w:rPr>
          <w:t>48</w:t>
        </w:r>
        <w:r w:rsidR="0021591B" w:rsidRPr="00190574">
          <w:rPr>
            <w:noProof/>
            <w:webHidden/>
            <w:sz w:val="24"/>
          </w:rPr>
          <w:fldChar w:fldCharType="end"/>
        </w:r>
      </w:hyperlink>
    </w:p>
    <w:p w:rsidR="002C599E" w:rsidRPr="00190574" w:rsidRDefault="007C62D2">
      <w:pPr>
        <w:ind w:firstLine="0"/>
        <w:rPr>
          <w:rFonts w:ascii="Times New Roman" w:hAnsi="Times New Roman"/>
          <w:sz w:val="24"/>
        </w:rPr>
      </w:pPr>
      <w:r w:rsidRPr="00190574">
        <w:rPr>
          <w:rFonts w:ascii="Times New Roman" w:hAnsi="Times New Roman"/>
          <w:sz w:val="24"/>
        </w:rPr>
        <w:fldChar w:fldCharType="end"/>
      </w:r>
    </w:p>
    <w:p w:rsidR="00A17563" w:rsidRPr="00190574" w:rsidRDefault="002C599E">
      <w:pPr>
        <w:ind w:firstLine="0"/>
        <w:rPr>
          <w:rFonts w:ascii="Times New Roman" w:hAnsi="Times New Roman"/>
          <w:bCs/>
          <w:sz w:val="24"/>
        </w:rPr>
      </w:pPr>
      <w:r w:rsidRPr="00190574">
        <w:rPr>
          <w:rFonts w:ascii="Times New Roman" w:hAnsi="Times New Roman"/>
          <w:bCs/>
          <w:sz w:val="24"/>
        </w:rPr>
        <w:br w:type="page"/>
      </w:r>
    </w:p>
    <w:p w:rsidR="00A17563" w:rsidRPr="00190574" w:rsidRDefault="00A17563" w:rsidP="001C000E">
      <w:pPr>
        <w:rPr>
          <w:rFonts w:ascii="Times New Roman" w:hAnsi="Times New Roman"/>
          <w:sz w:val="24"/>
        </w:rPr>
        <w:sectPr w:rsidR="00A17563" w:rsidRPr="00190574" w:rsidSect="006629C8">
          <w:headerReference w:type="default" r:id="rId14"/>
          <w:footerReference w:type="default" r:id="rId15"/>
          <w:pgSz w:w="12240" w:h="15840" w:code="1"/>
          <w:pgMar w:top="1440" w:right="1440" w:bottom="1440" w:left="1440" w:header="720" w:footer="720" w:gutter="0"/>
          <w:pgNumType w:fmt="lowerRoman" w:start="1"/>
          <w:cols w:space="360"/>
          <w:docGrid w:linePitch="360"/>
        </w:sectPr>
      </w:pPr>
    </w:p>
    <w:p w:rsidR="001C000E" w:rsidRPr="00190574" w:rsidRDefault="00A17563" w:rsidP="00A17563">
      <w:pPr>
        <w:pStyle w:val="Heading1ES"/>
        <w:rPr>
          <w:rFonts w:ascii="Times New Roman" w:hAnsi="Times New Roman"/>
          <w:color w:val="auto"/>
          <w:sz w:val="24"/>
          <w:szCs w:val="24"/>
        </w:rPr>
      </w:pPr>
      <w:bookmarkStart w:id="1" w:name="_Toc484000161"/>
      <w:r w:rsidRPr="00190574">
        <w:rPr>
          <w:rFonts w:ascii="Times New Roman" w:hAnsi="Times New Roman"/>
          <w:color w:val="auto"/>
          <w:sz w:val="24"/>
          <w:szCs w:val="24"/>
        </w:rPr>
        <w:lastRenderedPageBreak/>
        <w:t>1.</w:t>
      </w:r>
      <w:r w:rsidRPr="00190574">
        <w:rPr>
          <w:rFonts w:ascii="Times New Roman" w:hAnsi="Times New Roman"/>
          <w:color w:val="auto"/>
          <w:szCs w:val="28"/>
        </w:rPr>
        <w:t xml:space="preserve"> Introduction</w:t>
      </w:r>
      <w:bookmarkEnd w:id="1"/>
    </w:p>
    <w:p w:rsidR="00661C47" w:rsidRPr="00190574" w:rsidRDefault="00661C47" w:rsidP="00A17563">
      <w:pPr>
        <w:pStyle w:val="Body"/>
        <w:spacing w:after="180" w:line="264" w:lineRule="auto"/>
        <w:rPr>
          <w:szCs w:val="24"/>
        </w:rPr>
      </w:pPr>
      <w:r w:rsidRPr="00190574">
        <w:rPr>
          <w:szCs w:val="24"/>
        </w:rPr>
        <w:t>Emissions from Industrial, Commercial, and Institutional (ICI) fuel combustion are often a significant portion of most areas’ total emissions inventory. Unless all ICI combustion emission sources are covered in a geographic area’s point source inventory, it is necessary for inventory preparers to estimate ICI combustion nonpoint source emissions. Because there are specific challenges associated with estimating ICI nonpoint source emissions, the U.S. EPA in conjunction with Abt Associates developed a M</w:t>
      </w:r>
      <w:r w:rsidRPr="00190574">
        <w:rPr>
          <w:szCs w:val="24"/>
          <w:lang w:val="en-US"/>
        </w:rPr>
        <w:t>icrosoft®</w:t>
      </w:r>
      <w:r w:rsidRPr="00190574">
        <w:rPr>
          <w:szCs w:val="24"/>
        </w:rPr>
        <w:t xml:space="preserve"> Access-based ICI Combustion Tool to assist State, Local, and Tribal agencies in estimating nonpoint emissions from ICI fuel combustion for the 2014 National Emission Inventory. </w:t>
      </w:r>
    </w:p>
    <w:p w:rsidR="00794B35" w:rsidRPr="00190574" w:rsidRDefault="00661C47" w:rsidP="00A17563">
      <w:pPr>
        <w:pStyle w:val="Body"/>
        <w:spacing w:after="180" w:line="264" w:lineRule="auto"/>
        <w:rPr>
          <w:szCs w:val="24"/>
          <w:lang w:val="en-US"/>
        </w:rPr>
        <w:sectPr w:rsidR="00794B35" w:rsidRPr="00190574" w:rsidSect="00794B35">
          <w:headerReference w:type="default" r:id="rId16"/>
          <w:footerReference w:type="default" r:id="rId17"/>
          <w:type w:val="continuous"/>
          <w:pgSz w:w="12240" w:h="15840"/>
          <w:pgMar w:top="1440" w:right="1440" w:bottom="1440" w:left="1440" w:header="720" w:footer="720" w:gutter="0"/>
          <w:pgNumType w:start="1"/>
          <w:cols w:space="360"/>
          <w:docGrid w:linePitch="360"/>
        </w:sectPr>
      </w:pPr>
      <w:r w:rsidRPr="00190574">
        <w:rPr>
          <w:szCs w:val="24"/>
        </w:rPr>
        <w:t xml:space="preserve">The primary data source behind the ICI Combustion Tool is total state-level ICI energy consumption data released annually as part of the Energy Information Administration’s State Energy Data System (SEDS).  The ICI Combustion Tool processes the SEDS data and adjusts the data to account for the fraction of fuel consumed by nonroad mobile sources whose emissions are included in the nonroad inventory and by non-fuel combustion uses of energy, such as product feedstocks. Through a user-friendly interface, users can update the underlying assumptions in the adjustment methodology. The ICI Combustion Tool also includes a nonpoint source to point source crosswalk and allows the user to perform point source activity subtractions to avoid double counting of emissions between their point and nonpoint inventories. The ICI Combustion Tool generates outputs in EPA’s Emissions Inventory System (EIS) </w:t>
      </w:r>
      <w:r w:rsidR="00BC428B" w:rsidRPr="00190574">
        <w:rPr>
          <w:szCs w:val="24"/>
          <w:lang w:val="en-US"/>
        </w:rPr>
        <w:t xml:space="preserve">Staging Table </w:t>
      </w:r>
      <w:r w:rsidRPr="00190574">
        <w:rPr>
          <w:szCs w:val="24"/>
        </w:rPr>
        <w:t xml:space="preserve">format, ready for </w:t>
      </w:r>
      <w:r w:rsidR="00BC428B" w:rsidRPr="00190574">
        <w:rPr>
          <w:szCs w:val="24"/>
          <w:lang w:val="en-US"/>
        </w:rPr>
        <w:t xml:space="preserve">conversion to XML and </w:t>
      </w:r>
      <w:r w:rsidRPr="00190574">
        <w:rPr>
          <w:szCs w:val="24"/>
        </w:rPr>
        <w:t xml:space="preserve">submission to the EIS. This </w:t>
      </w:r>
      <w:r w:rsidR="009D1A2E" w:rsidRPr="00190574">
        <w:rPr>
          <w:szCs w:val="24"/>
          <w:lang w:val="en-US"/>
        </w:rPr>
        <w:t>documentation</w:t>
      </w:r>
      <w:r w:rsidRPr="00190574">
        <w:rPr>
          <w:szCs w:val="24"/>
        </w:rPr>
        <w:t xml:space="preserve"> provide</w:t>
      </w:r>
      <w:r w:rsidR="009D1A2E" w:rsidRPr="00190574">
        <w:rPr>
          <w:szCs w:val="24"/>
          <w:lang w:val="en-US"/>
        </w:rPr>
        <w:t>s</w:t>
      </w:r>
      <w:r w:rsidRPr="00190574">
        <w:rPr>
          <w:szCs w:val="24"/>
        </w:rPr>
        <w:t xml:space="preserve"> an overview of the ICI Combustion Tool and the procedures for developing a credible estimate of nonpoint emissions from ICI fuel-combustion sources.</w:t>
      </w:r>
    </w:p>
    <w:p w:rsidR="00CE551B" w:rsidRPr="00190574" w:rsidRDefault="001C000E" w:rsidP="00A17563">
      <w:pPr>
        <w:pStyle w:val="Heading1ES"/>
        <w:rPr>
          <w:rFonts w:ascii="Times New Roman" w:hAnsi="Times New Roman"/>
          <w:color w:val="auto"/>
          <w:sz w:val="24"/>
          <w:szCs w:val="24"/>
        </w:rPr>
      </w:pPr>
      <w:bookmarkStart w:id="2" w:name="_Toc484000162"/>
      <w:r w:rsidRPr="00190574">
        <w:rPr>
          <w:rFonts w:ascii="Times New Roman" w:hAnsi="Times New Roman"/>
          <w:color w:val="auto"/>
          <w:sz w:val="24"/>
          <w:szCs w:val="24"/>
        </w:rPr>
        <w:lastRenderedPageBreak/>
        <w:t>2.</w:t>
      </w:r>
      <w:r w:rsidRPr="00190574">
        <w:rPr>
          <w:rFonts w:ascii="Times New Roman" w:hAnsi="Times New Roman"/>
          <w:color w:val="auto"/>
          <w:szCs w:val="28"/>
        </w:rPr>
        <w:t xml:space="preserve"> </w:t>
      </w:r>
      <w:r w:rsidR="00CE551B" w:rsidRPr="00190574">
        <w:rPr>
          <w:rFonts w:ascii="Times New Roman" w:hAnsi="Times New Roman"/>
          <w:color w:val="auto"/>
          <w:szCs w:val="28"/>
        </w:rPr>
        <w:t>S</w:t>
      </w:r>
      <w:r w:rsidR="00A17563" w:rsidRPr="00190574">
        <w:rPr>
          <w:rFonts w:ascii="Times New Roman" w:hAnsi="Times New Roman"/>
          <w:color w:val="auto"/>
          <w:szCs w:val="28"/>
        </w:rPr>
        <w:t>ource Classification Codes an</w:t>
      </w:r>
      <w:r w:rsidR="00794B35" w:rsidRPr="00190574">
        <w:rPr>
          <w:rFonts w:ascii="Times New Roman" w:hAnsi="Times New Roman"/>
          <w:color w:val="auto"/>
          <w:szCs w:val="28"/>
        </w:rPr>
        <w:t>d Pollutants Included in ICI To</w:t>
      </w:r>
      <w:r w:rsidR="00A17563" w:rsidRPr="00190574">
        <w:rPr>
          <w:rFonts w:ascii="Times New Roman" w:hAnsi="Times New Roman"/>
          <w:color w:val="auto"/>
          <w:szCs w:val="28"/>
        </w:rPr>
        <w:t>ol</w:t>
      </w:r>
      <w:bookmarkEnd w:id="2"/>
      <w:r w:rsidR="00CE551B" w:rsidRPr="00190574">
        <w:rPr>
          <w:rFonts w:ascii="Times New Roman" w:hAnsi="Times New Roman"/>
          <w:color w:val="auto"/>
          <w:szCs w:val="28"/>
        </w:rPr>
        <w:t xml:space="preserve"> </w:t>
      </w:r>
    </w:p>
    <w:p w:rsidR="00005141" w:rsidRPr="00190574" w:rsidRDefault="00EA4BF9" w:rsidP="00A17563">
      <w:pPr>
        <w:pStyle w:val="Body"/>
        <w:spacing w:after="180" w:line="264" w:lineRule="auto"/>
        <w:rPr>
          <w:szCs w:val="24"/>
          <w:lang w:val="en-US"/>
        </w:rPr>
      </w:pPr>
      <w:r w:rsidRPr="00190574">
        <w:rPr>
          <w:szCs w:val="24"/>
        </w:rPr>
        <w:fldChar w:fldCharType="begin"/>
      </w:r>
      <w:r w:rsidRPr="00190574">
        <w:rPr>
          <w:szCs w:val="24"/>
        </w:rPr>
        <w:instrText xml:space="preserve"> REF _Ref416179733 \h  \* MERGEFORMAT </w:instrText>
      </w:r>
      <w:r w:rsidRPr="00190574">
        <w:rPr>
          <w:szCs w:val="24"/>
        </w:rPr>
      </w:r>
      <w:r w:rsidRPr="00190574">
        <w:rPr>
          <w:szCs w:val="24"/>
        </w:rPr>
        <w:fldChar w:fldCharType="separate"/>
      </w:r>
      <w:r w:rsidR="0021591B" w:rsidRPr="00190574">
        <w:rPr>
          <w:szCs w:val="24"/>
        </w:rPr>
        <w:t xml:space="preserve">Table </w:t>
      </w:r>
      <w:r w:rsidR="0021591B" w:rsidRPr="00190574">
        <w:rPr>
          <w:noProof/>
          <w:szCs w:val="24"/>
        </w:rPr>
        <w:t>1</w:t>
      </w:r>
      <w:r w:rsidRPr="00190574">
        <w:rPr>
          <w:szCs w:val="24"/>
        </w:rPr>
        <w:fldChar w:fldCharType="end"/>
      </w:r>
      <w:r w:rsidRPr="00190574">
        <w:rPr>
          <w:szCs w:val="24"/>
          <w:lang w:val="en-US"/>
        </w:rPr>
        <w:t xml:space="preserve"> </w:t>
      </w:r>
      <w:r w:rsidR="00005141" w:rsidRPr="00190574">
        <w:rPr>
          <w:szCs w:val="24"/>
        </w:rPr>
        <w:t xml:space="preserve">displays the source categories included in the ICI Combustion Tool and </w:t>
      </w:r>
      <w:r w:rsidRPr="00190574">
        <w:rPr>
          <w:szCs w:val="24"/>
        </w:rPr>
        <w:fldChar w:fldCharType="begin"/>
      </w:r>
      <w:r w:rsidRPr="00190574">
        <w:rPr>
          <w:szCs w:val="24"/>
        </w:rPr>
        <w:instrText xml:space="preserve"> REF _Ref416179751 \h </w:instrText>
      </w:r>
      <w:r w:rsidRPr="00190574">
        <w:rPr>
          <w:szCs w:val="24"/>
        </w:rPr>
      </w:r>
      <w:r w:rsidR="00190574" w:rsidRPr="00190574">
        <w:rPr>
          <w:szCs w:val="24"/>
        </w:rPr>
        <w:instrText xml:space="preserve"> \* MERGEFORMAT </w:instrText>
      </w:r>
      <w:r w:rsidRPr="00190574">
        <w:rPr>
          <w:szCs w:val="24"/>
        </w:rPr>
        <w:fldChar w:fldCharType="separate"/>
      </w:r>
      <w:r w:rsidR="0021591B" w:rsidRPr="00190574">
        <w:rPr>
          <w:szCs w:val="24"/>
        </w:rPr>
        <w:t xml:space="preserve">Table </w:t>
      </w:r>
      <w:r w:rsidR="0021591B" w:rsidRPr="00190574">
        <w:rPr>
          <w:noProof/>
          <w:szCs w:val="24"/>
        </w:rPr>
        <w:t>2</w:t>
      </w:r>
      <w:r w:rsidRPr="00190574">
        <w:rPr>
          <w:szCs w:val="24"/>
        </w:rPr>
        <w:fldChar w:fldCharType="end"/>
      </w:r>
      <w:r w:rsidR="00005141" w:rsidRPr="00190574">
        <w:rPr>
          <w:szCs w:val="24"/>
        </w:rPr>
        <w:t xml:space="preserve"> displays the pollutant types covered.</w:t>
      </w:r>
    </w:p>
    <w:p w:rsidR="00CD2321" w:rsidRPr="00190574" w:rsidRDefault="00CD2321" w:rsidP="00CD2321">
      <w:pPr>
        <w:spacing w:after="180" w:line="264" w:lineRule="auto"/>
        <w:ind w:firstLine="0"/>
        <w:jc w:val="center"/>
        <w:rPr>
          <w:rFonts w:ascii="Times New Roman" w:hAnsi="Times New Roman"/>
          <w:b/>
          <w:sz w:val="24"/>
        </w:rPr>
      </w:pPr>
      <w:bookmarkStart w:id="3" w:name="_Ref416179733"/>
      <w:bookmarkStart w:id="4" w:name="_Toc484000178"/>
      <w:r w:rsidRPr="00190574">
        <w:rPr>
          <w:rFonts w:ascii="Times New Roman" w:hAnsi="Times New Roman"/>
          <w:b/>
          <w:sz w:val="24"/>
        </w:rPr>
        <w:t xml:space="preserve">Table </w:t>
      </w:r>
      <w:r w:rsidR="006100DB" w:rsidRPr="00190574">
        <w:rPr>
          <w:rFonts w:ascii="Times New Roman" w:hAnsi="Times New Roman"/>
          <w:b/>
          <w:sz w:val="24"/>
        </w:rPr>
        <w:fldChar w:fldCharType="begin"/>
      </w:r>
      <w:r w:rsidR="006100DB" w:rsidRPr="00190574">
        <w:rPr>
          <w:rFonts w:ascii="Times New Roman" w:hAnsi="Times New Roman"/>
          <w:b/>
          <w:sz w:val="24"/>
        </w:rPr>
        <w:instrText xml:space="preserve"> SEQ Table \* ARABIC </w:instrText>
      </w:r>
      <w:r w:rsidR="006100DB" w:rsidRPr="00190574">
        <w:rPr>
          <w:rFonts w:ascii="Times New Roman" w:hAnsi="Times New Roman"/>
          <w:b/>
          <w:sz w:val="24"/>
        </w:rPr>
        <w:fldChar w:fldCharType="separate"/>
      </w:r>
      <w:r w:rsidR="0021591B" w:rsidRPr="00190574">
        <w:rPr>
          <w:rFonts w:ascii="Times New Roman" w:hAnsi="Times New Roman"/>
          <w:b/>
          <w:noProof/>
          <w:sz w:val="24"/>
        </w:rPr>
        <w:t>1</w:t>
      </w:r>
      <w:r w:rsidR="006100DB" w:rsidRPr="00190574">
        <w:rPr>
          <w:rFonts w:ascii="Times New Roman" w:hAnsi="Times New Roman"/>
          <w:b/>
          <w:sz w:val="24"/>
        </w:rPr>
        <w:fldChar w:fldCharType="end"/>
      </w:r>
      <w:bookmarkEnd w:id="3"/>
      <w:r w:rsidRPr="00190574">
        <w:rPr>
          <w:rFonts w:ascii="Times New Roman" w:hAnsi="Times New Roman"/>
          <w:b/>
          <w:sz w:val="24"/>
        </w:rPr>
        <w:t xml:space="preserve">. </w:t>
      </w:r>
      <w:r w:rsidRPr="00190574">
        <w:rPr>
          <w:rFonts w:ascii="Times New Roman" w:hAnsi="Times New Roman"/>
          <w:sz w:val="24"/>
        </w:rPr>
        <w:t>Source Categories Included in ICI Tool</w:t>
      </w:r>
      <w:bookmarkEnd w:id="4"/>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Caption w:val="Table 1. Source Categories Included in ICI Tool"/>
        <w:tblDescription w:val="SCC Description"/>
      </w:tblPr>
      <w:tblGrid>
        <w:gridCol w:w="1358"/>
        <w:gridCol w:w="6390"/>
      </w:tblGrid>
      <w:tr w:rsidR="00190574" w:rsidRPr="00190574" w:rsidTr="006A294F">
        <w:trPr>
          <w:jc w:val="center"/>
        </w:trPr>
        <w:tc>
          <w:tcPr>
            <w:tcW w:w="1358" w:type="dxa"/>
            <w:shd w:val="clear" w:color="auto" w:fill="D6291C"/>
            <w:tcMar>
              <w:top w:w="15" w:type="dxa"/>
              <w:left w:w="15" w:type="dxa"/>
              <w:bottom w:w="0" w:type="dxa"/>
              <w:right w:w="15" w:type="dxa"/>
            </w:tcMar>
            <w:vAlign w:val="bottom"/>
            <w:hideMark/>
          </w:tcPr>
          <w:p w:rsidR="00BB27A8" w:rsidRPr="00190574" w:rsidRDefault="00CE551B" w:rsidP="00776B74">
            <w:pPr>
              <w:spacing w:after="60" w:line="264" w:lineRule="auto"/>
              <w:ind w:firstLine="0"/>
              <w:jc w:val="center"/>
              <w:rPr>
                <w:rFonts w:ascii="Times New Roman" w:hAnsi="Times New Roman"/>
                <w:b/>
                <w:sz w:val="24"/>
              </w:rPr>
            </w:pPr>
            <w:r w:rsidRPr="00190574">
              <w:rPr>
                <w:rFonts w:ascii="Times New Roman" w:hAnsi="Times New Roman"/>
                <w:b/>
                <w:bCs/>
                <w:sz w:val="24"/>
              </w:rPr>
              <w:t>SCC</w:t>
            </w:r>
          </w:p>
        </w:tc>
        <w:tc>
          <w:tcPr>
            <w:tcW w:w="6390" w:type="dxa"/>
            <w:shd w:val="clear" w:color="auto" w:fill="D6291C"/>
            <w:tcMar>
              <w:top w:w="15" w:type="dxa"/>
              <w:left w:w="15" w:type="dxa"/>
              <w:bottom w:w="0" w:type="dxa"/>
              <w:right w:w="15" w:type="dxa"/>
            </w:tcMar>
            <w:vAlign w:val="bottom"/>
            <w:hideMark/>
          </w:tcPr>
          <w:p w:rsidR="00BB27A8" w:rsidRPr="00190574" w:rsidRDefault="00CE551B" w:rsidP="00776B74">
            <w:pPr>
              <w:spacing w:after="60" w:line="264" w:lineRule="auto"/>
              <w:ind w:firstLine="0"/>
              <w:jc w:val="center"/>
              <w:rPr>
                <w:rFonts w:ascii="Times New Roman" w:hAnsi="Times New Roman"/>
                <w:b/>
                <w:sz w:val="24"/>
              </w:rPr>
            </w:pPr>
            <w:r w:rsidRPr="00190574">
              <w:rPr>
                <w:rFonts w:ascii="Times New Roman" w:hAnsi="Times New Roman"/>
                <w:b/>
                <w:bCs/>
                <w:sz w:val="24"/>
              </w:rPr>
              <w:t>Description</w:t>
            </w:r>
          </w:p>
        </w:tc>
      </w:tr>
      <w:tr w:rsidR="00190574" w:rsidRPr="00190574" w:rsidTr="006A294F">
        <w:trPr>
          <w:trHeight w:val="264"/>
          <w:jc w:val="center"/>
        </w:trPr>
        <w:tc>
          <w:tcPr>
            <w:tcW w:w="7748" w:type="dxa"/>
            <w:gridSpan w:val="2"/>
            <w:shd w:val="clear" w:color="auto" w:fill="D6291C"/>
            <w:tcMar>
              <w:top w:w="15" w:type="dxa"/>
              <w:left w:w="15" w:type="dxa"/>
              <w:bottom w:w="0" w:type="dxa"/>
              <w:right w:w="15" w:type="dxa"/>
            </w:tcMar>
            <w:vAlign w:val="center"/>
          </w:tcPr>
          <w:p w:rsidR="00CE551B" w:rsidRPr="00190574" w:rsidRDefault="00CE551B" w:rsidP="00776B74">
            <w:pPr>
              <w:spacing w:after="60" w:line="264" w:lineRule="auto"/>
              <w:ind w:firstLine="0"/>
              <w:jc w:val="center"/>
              <w:rPr>
                <w:rFonts w:ascii="Times New Roman" w:hAnsi="Times New Roman"/>
                <w:b/>
                <w:sz w:val="24"/>
              </w:rPr>
            </w:pPr>
            <w:r w:rsidRPr="00190574">
              <w:rPr>
                <w:rFonts w:ascii="Times New Roman" w:hAnsi="Times New Roman"/>
                <w:b/>
                <w:sz w:val="24"/>
              </w:rPr>
              <w:t>Industrial</w:t>
            </w:r>
          </w:p>
        </w:tc>
      </w:tr>
      <w:tr w:rsidR="00190574"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2102001000</w:t>
            </w:r>
          </w:p>
        </w:tc>
        <w:tc>
          <w:tcPr>
            <w:tcW w:w="6390"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Anthracite Coal /Total: All Boiler Types</w:t>
            </w:r>
          </w:p>
        </w:tc>
      </w:tr>
      <w:tr w:rsidR="00190574"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2102002000</w:t>
            </w:r>
          </w:p>
        </w:tc>
        <w:tc>
          <w:tcPr>
            <w:tcW w:w="6390"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Bituminous/Subbituminous Coal /Total: All</w:t>
            </w:r>
            <w:r w:rsidR="00F847EB" w:rsidRPr="00190574">
              <w:rPr>
                <w:rFonts w:ascii="Times New Roman" w:hAnsi="Times New Roman"/>
                <w:sz w:val="24"/>
              </w:rPr>
              <w:t xml:space="preserve"> </w:t>
            </w:r>
            <w:r w:rsidRPr="00190574">
              <w:rPr>
                <w:rFonts w:ascii="Times New Roman" w:hAnsi="Times New Roman"/>
                <w:sz w:val="24"/>
              </w:rPr>
              <w:t>Boiler Types</w:t>
            </w:r>
          </w:p>
        </w:tc>
      </w:tr>
      <w:tr w:rsidR="00190574"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2102004001</w:t>
            </w:r>
          </w:p>
        </w:tc>
        <w:tc>
          <w:tcPr>
            <w:tcW w:w="6390"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Distillate Oil /Boilers</w:t>
            </w:r>
          </w:p>
        </w:tc>
      </w:tr>
      <w:tr w:rsidR="00190574"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2102004002</w:t>
            </w:r>
          </w:p>
        </w:tc>
        <w:tc>
          <w:tcPr>
            <w:tcW w:w="6390"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Distillate Oil /IC Engines</w:t>
            </w:r>
          </w:p>
        </w:tc>
      </w:tr>
      <w:tr w:rsidR="00190574" w:rsidRPr="00190574" w:rsidTr="00323F60">
        <w:trPr>
          <w:trHeight w:val="118"/>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2102005000</w:t>
            </w:r>
          </w:p>
        </w:tc>
        <w:tc>
          <w:tcPr>
            <w:tcW w:w="6390"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Residual Oil /Total: All Boiler Types</w:t>
            </w:r>
          </w:p>
        </w:tc>
      </w:tr>
      <w:tr w:rsidR="00190574"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2102006000</w:t>
            </w:r>
          </w:p>
        </w:tc>
        <w:tc>
          <w:tcPr>
            <w:tcW w:w="6390"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Natural Gas /Total: Boilers and IC Engines</w:t>
            </w:r>
          </w:p>
        </w:tc>
      </w:tr>
      <w:tr w:rsidR="00190574"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2102007000</w:t>
            </w:r>
          </w:p>
        </w:tc>
        <w:tc>
          <w:tcPr>
            <w:tcW w:w="6390"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Liquified Petroleum Gas /Total: All Boiler Types</w:t>
            </w:r>
          </w:p>
        </w:tc>
      </w:tr>
      <w:tr w:rsidR="00190574"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2102008000</w:t>
            </w:r>
          </w:p>
        </w:tc>
        <w:tc>
          <w:tcPr>
            <w:tcW w:w="6390"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Wood /Total: All Boiler Types</w:t>
            </w:r>
          </w:p>
        </w:tc>
      </w:tr>
      <w:tr w:rsidR="00190574"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2102011000</w:t>
            </w:r>
          </w:p>
        </w:tc>
        <w:tc>
          <w:tcPr>
            <w:tcW w:w="6390"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Kerosene /Total: All Boiler Types</w:t>
            </w:r>
          </w:p>
        </w:tc>
      </w:tr>
      <w:tr w:rsidR="00190574" w:rsidRPr="00190574" w:rsidTr="006A294F">
        <w:trPr>
          <w:jc w:val="center"/>
        </w:trPr>
        <w:tc>
          <w:tcPr>
            <w:tcW w:w="7748" w:type="dxa"/>
            <w:gridSpan w:val="2"/>
            <w:shd w:val="clear" w:color="auto" w:fill="D6291C"/>
            <w:tcMar>
              <w:top w:w="15" w:type="dxa"/>
              <w:left w:w="15" w:type="dxa"/>
              <w:bottom w:w="0" w:type="dxa"/>
              <w:right w:w="15" w:type="dxa"/>
            </w:tcMar>
            <w:vAlign w:val="center"/>
          </w:tcPr>
          <w:p w:rsidR="00F847EB" w:rsidRPr="00190574" w:rsidRDefault="00F847EB" w:rsidP="00776B74">
            <w:pPr>
              <w:spacing w:after="60" w:line="264" w:lineRule="auto"/>
              <w:ind w:firstLine="0"/>
              <w:jc w:val="center"/>
              <w:rPr>
                <w:rFonts w:ascii="Times New Roman" w:hAnsi="Times New Roman"/>
                <w:b/>
                <w:sz w:val="24"/>
              </w:rPr>
            </w:pPr>
            <w:r w:rsidRPr="00190574">
              <w:rPr>
                <w:rFonts w:ascii="Times New Roman" w:hAnsi="Times New Roman"/>
                <w:b/>
                <w:sz w:val="24"/>
              </w:rPr>
              <w:t>Commercial/Institutional</w:t>
            </w:r>
          </w:p>
        </w:tc>
      </w:tr>
      <w:tr w:rsidR="00190574"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2103001000</w:t>
            </w:r>
          </w:p>
        </w:tc>
        <w:tc>
          <w:tcPr>
            <w:tcW w:w="6390"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Anthracite Coal /Total: All Boiler Types</w:t>
            </w:r>
          </w:p>
        </w:tc>
      </w:tr>
      <w:tr w:rsidR="00190574"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2103002000</w:t>
            </w:r>
          </w:p>
        </w:tc>
        <w:tc>
          <w:tcPr>
            <w:tcW w:w="6390" w:type="dxa"/>
            <w:shd w:val="clear" w:color="auto" w:fill="auto"/>
            <w:tcMar>
              <w:top w:w="15" w:type="dxa"/>
              <w:left w:w="15" w:type="dxa"/>
              <w:bottom w:w="0" w:type="dxa"/>
              <w:right w:w="15" w:type="dxa"/>
            </w:tcMar>
            <w:vAlign w:val="center"/>
            <w:hideMark/>
          </w:tcPr>
          <w:p w:rsidR="00CE551B"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Bituminous/Subbituminous Coal /Total:</w:t>
            </w:r>
          </w:p>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All Boiler Types</w:t>
            </w:r>
          </w:p>
        </w:tc>
      </w:tr>
      <w:tr w:rsidR="00190574"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2103004001</w:t>
            </w:r>
          </w:p>
        </w:tc>
        <w:tc>
          <w:tcPr>
            <w:tcW w:w="6390"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Distillate Oil /Boilers</w:t>
            </w:r>
          </w:p>
        </w:tc>
      </w:tr>
      <w:tr w:rsidR="00190574"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2103004002</w:t>
            </w:r>
          </w:p>
        </w:tc>
        <w:tc>
          <w:tcPr>
            <w:tcW w:w="6390"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Distillate Oil /IC Engines</w:t>
            </w:r>
          </w:p>
        </w:tc>
      </w:tr>
      <w:tr w:rsidR="00190574"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2103005000</w:t>
            </w:r>
          </w:p>
        </w:tc>
        <w:tc>
          <w:tcPr>
            <w:tcW w:w="6390"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Residual Oil /Total: All Boiler Types</w:t>
            </w:r>
          </w:p>
        </w:tc>
      </w:tr>
      <w:tr w:rsidR="00190574"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2103006000</w:t>
            </w:r>
          </w:p>
        </w:tc>
        <w:tc>
          <w:tcPr>
            <w:tcW w:w="6390"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Natural Gas /Total: Boilers and IC Engines</w:t>
            </w:r>
          </w:p>
        </w:tc>
      </w:tr>
      <w:tr w:rsidR="00190574"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2103007000</w:t>
            </w:r>
          </w:p>
        </w:tc>
        <w:tc>
          <w:tcPr>
            <w:tcW w:w="6390" w:type="dxa"/>
            <w:shd w:val="clear" w:color="auto" w:fill="auto"/>
            <w:tcMar>
              <w:top w:w="15" w:type="dxa"/>
              <w:left w:w="15" w:type="dxa"/>
              <w:bottom w:w="0" w:type="dxa"/>
              <w:right w:w="15" w:type="dxa"/>
            </w:tcMar>
            <w:vAlign w:val="center"/>
            <w:hideMark/>
          </w:tcPr>
          <w:p w:rsidR="00CE551B"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Liquified Petroleum Gas /Total: All</w:t>
            </w:r>
          </w:p>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Combustor Types</w:t>
            </w:r>
          </w:p>
        </w:tc>
      </w:tr>
      <w:tr w:rsidR="00190574"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2103008000</w:t>
            </w:r>
          </w:p>
        </w:tc>
        <w:tc>
          <w:tcPr>
            <w:tcW w:w="6390"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Wood /Total: All Boiler Types</w:t>
            </w:r>
          </w:p>
        </w:tc>
      </w:tr>
      <w:tr w:rsidR="00CE551B" w:rsidRPr="00190574" w:rsidTr="00323F60">
        <w:trPr>
          <w:jc w:val="center"/>
        </w:trPr>
        <w:tc>
          <w:tcPr>
            <w:tcW w:w="1358"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firstLine="0"/>
              <w:jc w:val="center"/>
              <w:rPr>
                <w:rFonts w:ascii="Times New Roman" w:hAnsi="Times New Roman"/>
                <w:sz w:val="24"/>
              </w:rPr>
            </w:pPr>
            <w:r w:rsidRPr="00190574">
              <w:rPr>
                <w:rFonts w:ascii="Times New Roman" w:hAnsi="Times New Roman"/>
                <w:sz w:val="24"/>
              </w:rPr>
              <w:t>2103011000</w:t>
            </w:r>
          </w:p>
        </w:tc>
        <w:tc>
          <w:tcPr>
            <w:tcW w:w="6390" w:type="dxa"/>
            <w:shd w:val="clear" w:color="auto" w:fill="auto"/>
            <w:tcMar>
              <w:top w:w="15" w:type="dxa"/>
              <w:left w:w="15" w:type="dxa"/>
              <w:bottom w:w="0" w:type="dxa"/>
              <w:right w:w="15" w:type="dxa"/>
            </w:tcMar>
            <w:vAlign w:val="center"/>
            <w:hideMark/>
          </w:tcPr>
          <w:p w:rsidR="00BB27A8" w:rsidRPr="00190574" w:rsidRDefault="00CE551B" w:rsidP="00776B74">
            <w:pPr>
              <w:spacing w:after="60" w:line="264" w:lineRule="auto"/>
              <w:ind w:left="142" w:hanging="90"/>
              <w:jc w:val="center"/>
              <w:rPr>
                <w:rFonts w:ascii="Times New Roman" w:hAnsi="Times New Roman"/>
                <w:sz w:val="24"/>
              </w:rPr>
            </w:pPr>
            <w:r w:rsidRPr="00190574">
              <w:rPr>
                <w:rFonts w:ascii="Times New Roman" w:hAnsi="Times New Roman"/>
                <w:sz w:val="24"/>
              </w:rPr>
              <w:t>Kerosene /Total: All Combustor Types</w:t>
            </w:r>
          </w:p>
        </w:tc>
      </w:tr>
    </w:tbl>
    <w:p w:rsidR="00BF3199" w:rsidRDefault="00BF3199" w:rsidP="00A17563">
      <w:pPr>
        <w:spacing w:after="180" w:line="264" w:lineRule="auto"/>
        <w:ind w:firstLine="0"/>
        <w:rPr>
          <w:rFonts w:ascii="Times New Roman" w:hAnsi="Times New Roman"/>
          <w:b/>
          <w:sz w:val="24"/>
        </w:rPr>
        <w:sectPr w:rsidR="00BF3199" w:rsidSect="006629C8">
          <w:headerReference w:type="default" r:id="rId18"/>
          <w:pgSz w:w="12240" w:h="15840"/>
          <w:pgMar w:top="1440" w:right="1440" w:bottom="1440" w:left="1440" w:header="720" w:footer="720" w:gutter="0"/>
          <w:cols w:space="360"/>
          <w:docGrid w:linePitch="360"/>
        </w:sectPr>
      </w:pPr>
    </w:p>
    <w:p w:rsidR="00C0703B" w:rsidRPr="00190574" w:rsidRDefault="00C0703B" w:rsidP="00A17563">
      <w:pPr>
        <w:spacing w:after="180" w:line="264" w:lineRule="auto"/>
        <w:ind w:firstLine="0"/>
        <w:rPr>
          <w:rFonts w:ascii="Times New Roman" w:hAnsi="Times New Roman"/>
          <w:b/>
          <w:sz w:val="24"/>
        </w:rPr>
      </w:pPr>
    </w:p>
    <w:p w:rsidR="00C0703B" w:rsidRPr="00190574" w:rsidRDefault="00CD2321" w:rsidP="00CD2321">
      <w:pPr>
        <w:pStyle w:val="Caption"/>
        <w:keepNext/>
        <w:jc w:val="center"/>
        <w:rPr>
          <w:rFonts w:ascii="Times New Roman" w:hAnsi="Times New Roman"/>
          <w:b w:val="0"/>
          <w:sz w:val="24"/>
          <w:szCs w:val="24"/>
        </w:rPr>
      </w:pPr>
      <w:bookmarkStart w:id="5" w:name="_Ref416179751"/>
      <w:bookmarkStart w:id="6" w:name="_Toc484000179"/>
      <w:r w:rsidRPr="00190574">
        <w:rPr>
          <w:rFonts w:ascii="Times New Roman" w:hAnsi="Times New Roman"/>
          <w:sz w:val="24"/>
          <w:szCs w:val="24"/>
        </w:rPr>
        <w:t xml:space="preserve">Table </w:t>
      </w:r>
      <w:r w:rsidR="006100DB" w:rsidRPr="00190574">
        <w:rPr>
          <w:rFonts w:ascii="Times New Roman" w:hAnsi="Times New Roman"/>
          <w:sz w:val="24"/>
          <w:szCs w:val="24"/>
        </w:rPr>
        <w:fldChar w:fldCharType="begin"/>
      </w:r>
      <w:r w:rsidR="006100DB" w:rsidRPr="00190574">
        <w:rPr>
          <w:rFonts w:ascii="Times New Roman" w:hAnsi="Times New Roman"/>
          <w:sz w:val="24"/>
          <w:szCs w:val="24"/>
        </w:rPr>
        <w:instrText xml:space="preserve"> SEQ Table \* ARABIC </w:instrText>
      </w:r>
      <w:r w:rsidR="006100DB" w:rsidRPr="00190574">
        <w:rPr>
          <w:rFonts w:ascii="Times New Roman" w:hAnsi="Times New Roman"/>
          <w:sz w:val="24"/>
          <w:szCs w:val="24"/>
        </w:rPr>
        <w:fldChar w:fldCharType="separate"/>
      </w:r>
      <w:r w:rsidR="0021591B" w:rsidRPr="00190574">
        <w:rPr>
          <w:rFonts w:ascii="Times New Roman" w:hAnsi="Times New Roman"/>
          <w:noProof/>
          <w:sz w:val="24"/>
          <w:szCs w:val="24"/>
        </w:rPr>
        <w:t>2</w:t>
      </w:r>
      <w:r w:rsidR="006100DB" w:rsidRPr="00190574">
        <w:rPr>
          <w:rFonts w:ascii="Times New Roman" w:hAnsi="Times New Roman"/>
          <w:sz w:val="24"/>
          <w:szCs w:val="24"/>
        </w:rPr>
        <w:fldChar w:fldCharType="end"/>
      </w:r>
      <w:bookmarkEnd w:id="5"/>
      <w:r w:rsidRPr="00190574">
        <w:rPr>
          <w:rFonts w:ascii="Times New Roman" w:hAnsi="Times New Roman"/>
          <w:sz w:val="24"/>
          <w:szCs w:val="24"/>
        </w:rPr>
        <w:t>.</w:t>
      </w:r>
      <w:r w:rsidR="00C0703B" w:rsidRPr="00190574">
        <w:rPr>
          <w:rFonts w:ascii="Times New Roman" w:hAnsi="Times New Roman"/>
          <w:b w:val="0"/>
          <w:sz w:val="24"/>
          <w:szCs w:val="24"/>
        </w:rPr>
        <w:t xml:space="preserve"> Pollutants Included in ICI Tool</w:t>
      </w:r>
      <w:bookmarkEnd w:id="6"/>
    </w:p>
    <w:tbl>
      <w:tblPr>
        <w:tblW w:w="5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Caption w:val="Table 2. Pollutants Included in ICI Tool"/>
        <w:tblDescription w:val="Category Pollutant(s)"/>
      </w:tblPr>
      <w:tblGrid>
        <w:gridCol w:w="1185"/>
        <w:gridCol w:w="4211"/>
      </w:tblGrid>
      <w:tr w:rsidR="00190574" w:rsidRPr="00190574" w:rsidTr="006A294F">
        <w:trPr>
          <w:trHeight w:val="288"/>
          <w:jc w:val="center"/>
        </w:trPr>
        <w:tc>
          <w:tcPr>
            <w:tcW w:w="1185" w:type="dxa"/>
            <w:shd w:val="clear" w:color="auto" w:fill="D6291C"/>
            <w:tcMar>
              <w:top w:w="15" w:type="dxa"/>
              <w:left w:w="15" w:type="dxa"/>
              <w:bottom w:w="0" w:type="dxa"/>
              <w:right w:w="15" w:type="dxa"/>
            </w:tcMar>
            <w:vAlign w:val="center"/>
            <w:hideMark/>
          </w:tcPr>
          <w:p w:rsidR="00C0703B" w:rsidRPr="00190574" w:rsidRDefault="00C0703B" w:rsidP="00776B74">
            <w:pPr>
              <w:spacing w:after="60" w:line="264" w:lineRule="auto"/>
              <w:ind w:firstLine="0"/>
              <w:jc w:val="center"/>
              <w:rPr>
                <w:rFonts w:ascii="Times New Roman" w:hAnsi="Times New Roman"/>
                <w:b/>
                <w:sz w:val="24"/>
              </w:rPr>
            </w:pPr>
            <w:r w:rsidRPr="00190574">
              <w:rPr>
                <w:rFonts w:ascii="Times New Roman" w:hAnsi="Times New Roman"/>
                <w:b/>
                <w:sz w:val="24"/>
              </w:rPr>
              <w:t>Category</w:t>
            </w:r>
          </w:p>
        </w:tc>
        <w:tc>
          <w:tcPr>
            <w:tcW w:w="4211" w:type="dxa"/>
            <w:shd w:val="clear" w:color="auto" w:fill="D6291C"/>
            <w:tcMar>
              <w:top w:w="15" w:type="dxa"/>
              <w:left w:w="15" w:type="dxa"/>
              <w:bottom w:w="0" w:type="dxa"/>
              <w:right w:w="15" w:type="dxa"/>
            </w:tcMar>
            <w:vAlign w:val="center"/>
            <w:hideMark/>
          </w:tcPr>
          <w:p w:rsidR="00C0703B" w:rsidRPr="00190574" w:rsidRDefault="00C0703B" w:rsidP="00776B74">
            <w:pPr>
              <w:spacing w:after="60" w:line="264" w:lineRule="auto"/>
              <w:ind w:left="142" w:hanging="90"/>
              <w:jc w:val="center"/>
              <w:rPr>
                <w:rFonts w:ascii="Times New Roman" w:hAnsi="Times New Roman"/>
                <w:b/>
                <w:sz w:val="24"/>
              </w:rPr>
            </w:pPr>
            <w:r w:rsidRPr="00190574">
              <w:rPr>
                <w:rFonts w:ascii="Times New Roman" w:hAnsi="Times New Roman"/>
                <w:b/>
                <w:sz w:val="24"/>
              </w:rPr>
              <w:t>Pollutant(s)</w:t>
            </w:r>
          </w:p>
        </w:tc>
      </w:tr>
      <w:tr w:rsidR="00190574" w:rsidRPr="00190574" w:rsidTr="00323F60">
        <w:trPr>
          <w:trHeight w:val="288"/>
          <w:jc w:val="center"/>
        </w:trPr>
        <w:tc>
          <w:tcPr>
            <w:tcW w:w="1185" w:type="dxa"/>
            <w:vMerge w:val="restart"/>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ind w:firstLine="0"/>
              <w:jc w:val="center"/>
              <w:rPr>
                <w:rFonts w:ascii="Times New Roman" w:hAnsi="Times New Roman"/>
                <w:b/>
                <w:sz w:val="24"/>
              </w:rPr>
            </w:pPr>
            <w:r w:rsidRPr="00190574">
              <w:rPr>
                <w:rFonts w:ascii="Times New Roman" w:hAnsi="Times New Roman"/>
                <w:b/>
                <w:sz w:val="24"/>
              </w:rPr>
              <w:t>Criteria</w:t>
            </w:r>
          </w:p>
        </w:tc>
        <w:tc>
          <w:tcPr>
            <w:tcW w:w="4211" w:type="dxa"/>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ind w:left="142" w:hanging="90"/>
              <w:jc w:val="center"/>
              <w:rPr>
                <w:rFonts w:ascii="Times New Roman" w:hAnsi="Times New Roman"/>
                <w:sz w:val="24"/>
              </w:rPr>
            </w:pPr>
            <w:r w:rsidRPr="00190574">
              <w:rPr>
                <w:rFonts w:ascii="Times New Roman" w:hAnsi="Times New Roman"/>
                <w:sz w:val="24"/>
              </w:rPr>
              <w:t>Carbon monoxide</w:t>
            </w:r>
          </w:p>
        </w:tc>
      </w:tr>
      <w:tr w:rsidR="00190574" w:rsidRPr="00190574" w:rsidTr="00323F60">
        <w:trPr>
          <w:trHeight w:val="288"/>
          <w:jc w:val="center"/>
        </w:trPr>
        <w:tc>
          <w:tcPr>
            <w:tcW w:w="1185" w:type="dxa"/>
            <w:vMerge/>
            <w:shd w:val="clear" w:color="auto" w:fill="auto"/>
            <w:tcMar>
              <w:top w:w="15" w:type="dxa"/>
              <w:left w:w="15" w:type="dxa"/>
              <w:bottom w:w="0" w:type="dxa"/>
              <w:right w:w="15" w:type="dxa"/>
            </w:tcMar>
            <w:vAlign w:val="center"/>
          </w:tcPr>
          <w:p w:rsidR="00C0703B" w:rsidRPr="00190574" w:rsidRDefault="00C0703B" w:rsidP="00776B74">
            <w:pPr>
              <w:spacing w:after="60" w:line="264" w:lineRule="auto"/>
              <w:ind w:firstLine="0"/>
              <w:jc w:val="center"/>
              <w:rPr>
                <w:rFonts w:ascii="Times New Roman" w:hAnsi="Times New Roman"/>
                <w:b/>
                <w:sz w:val="24"/>
              </w:rPr>
            </w:pPr>
          </w:p>
        </w:tc>
        <w:tc>
          <w:tcPr>
            <w:tcW w:w="4211" w:type="dxa"/>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ind w:left="142" w:hanging="90"/>
              <w:jc w:val="center"/>
              <w:rPr>
                <w:rFonts w:ascii="Times New Roman" w:hAnsi="Times New Roman"/>
                <w:sz w:val="24"/>
              </w:rPr>
            </w:pPr>
            <w:r w:rsidRPr="00190574">
              <w:rPr>
                <w:rFonts w:ascii="Times New Roman" w:hAnsi="Times New Roman"/>
                <w:sz w:val="24"/>
              </w:rPr>
              <w:t>Nitrogen oxides</w:t>
            </w:r>
          </w:p>
        </w:tc>
      </w:tr>
      <w:tr w:rsidR="00190574" w:rsidRPr="00190574" w:rsidTr="00323F60">
        <w:trPr>
          <w:trHeight w:val="288"/>
          <w:jc w:val="center"/>
        </w:trPr>
        <w:tc>
          <w:tcPr>
            <w:tcW w:w="1185" w:type="dxa"/>
            <w:vMerge/>
            <w:shd w:val="clear" w:color="auto" w:fill="auto"/>
            <w:tcMar>
              <w:top w:w="15" w:type="dxa"/>
              <w:left w:w="15" w:type="dxa"/>
              <w:bottom w:w="0" w:type="dxa"/>
              <w:right w:w="15" w:type="dxa"/>
            </w:tcMar>
            <w:vAlign w:val="center"/>
          </w:tcPr>
          <w:p w:rsidR="00C0703B" w:rsidRPr="00190574" w:rsidRDefault="00C0703B" w:rsidP="00776B74">
            <w:pPr>
              <w:spacing w:after="60" w:line="264" w:lineRule="auto"/>
              <w:ind w:firstLine="0"/>
              <w:jc w:val="center"/>
              <w:rPr>
                <w:rFonts w:ascii="Times New Roman" w:hAnsi="Times New Roman"/>
                <w:b/>
                <w:sz w:val="24"/>
              </w:rPr>
            </w:pPr>
          </w:p>
        </w:tc>
        <w:tc>
          <w:tcPr>
            <w:tcW w:w="4211" w:type="dxa"/>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ind w:left="142" w:hanging="90"/>
              <w:jc w:val="center"/>
              <w:rPr>
                <w:rFonts w:ascii="Times New Roman" w:hAnsi="Times New Roman"/>
                <w:sz w:val="24"/>
              </w:rPr>
            </w:pPr>
            <w:r w:rsidRPr="00190574">
              <w:rPr>
                <w:rFonts w:ascii="Times New Roman" w:hAnsi="Times New Roman"/>
                <w:sz w:val="24"/>
              </w:rPr>
              <w:t>PM</w:t>
            </w:r>
            <w:r w:rsidRPr="00190574">
              <w:rPr>
                <w:rFonts w:ascii="Times New Roman" w:hAnsi="Times New Roman"/>
                <w:sz w:val="24"/>
                <w:vertAlign w:val="subscript"/>
              </w:rPr>
              <w:t>10</w:t>
            </w:r>
          </w:p>
        </w:tc>
      </w:tr>
      <w:tr w:rsidR="00190574" w:rsidRPr="00190574" w:rsidTr="00323F60">
        <w:trPr>
          <w:trHeight w:val="288"/>
          <w:jc w:val="center"/>
        </w:trPr>
        <w:tc>
          <w:tcPr>
            <w:tcW w:w="1185" w:type="dxa"/>
            <w:vMerge/>
            <w:shd w:val="clear" w:color="auto" w:fill="auto"/>
            <w:tcMar>
              <w:top w:w="15" w:type="dxa"/>
              <w:left w:w="15" w:type="dxa"/>
              <w:bottom w:w="0" w:type="dxa"/>
              <w:right w:w="15" w:type="dxa"/>
            </w:tcMar>
            <w:vAlign w:val="center"/>
          </w:tcPr>
          <w:p w:rsidR="00C0703B" w:rsidRPr="00190574" w:rsidRDefault="00C0703B" w:rsidP="00776B74">
            <w:pPr>
              <w:spacing w:after="60" w:line="264" w:lineRule="auto"/>
              <w:ind w:firstLine="0"/>
              <w:jc w:val="center"/>
              <w:rPr>
                <w:rFonts w:ascii="Times New Roman" w:hAnsi="Times New Roman"/>
                <w:b/>
                <w:sz w:val="24"/>
              </w:rPr>
            </w:pPr>
          </w:p>
        </w:tc>
        <w:tc>
          <w:tcPr>
            <w:tcW w:w="4211" w:type="dxa"/>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ind w:left="142" w:hanging="90"/>
              <w:jc w:val="center"/>
              <w:rPr>
                <w:rFonts w:ascii="Times New Roman" w:hAnsi="Times New Roman"/>
                <w:sz w:val="24"/>
              </w:rPr>
            </w:pPr>
            <w:r w:rsidRPr="00190574">
              <w:rPr>
                <w:rFonts w:ascii="Times New Roman" w:hAnsi="Times New Roman"/>
                <w:sz w:val="24"/>
              </w:rPr>
              <w:t>PM</w:t>
            </w:r>
            <w:r w:rsidRPr="00190574">
              <w:rPr>
                <w:rFonts w:ascii="Times New Roman" w:hAnsi="Times New Roman"/>
                <w:sz w:val="24"/>
                <w:vertAlign w:val="subscript"/>
              </w:rPr>
              <w:t>2.5</w:t>
            </w:r>
          </w:p>
        </w:tc>
      </w:tr>
      <w:tr w:rsidR="00190574" w:rsidRPr="00190574" w:rsidTr="00323F60">
        <w:trPr>
          <w:trHeight w:val="288"/>
          <w:jc w:val="center"/>
        </w:trPr>
        <w:tc>
          <w:tcPr>
            <w:tcW w:w="1185" w:type="dxa"/>
            <w:vMerge/>
            <w:shd w:val="clear" w:color="auto" w:fill="auto"/>
            <w:tcMar>
              <w:top w:w="15" w:type="dxa"/>
              <w:left w:w="15" w:type="dxa"/>
              <w:bottom w:w="0" w:type="dxa"/>
              <w:right w:w="15" w:type="dxa"/>
            </w:tcMar>
            <w:vAlign w:val="center"/>
          </w:tcPr>
          <w:p w:rsidR="00C0703B" w:rsidRPr="00190574" w:rsidRDefault="00C0703B" w:rsidP="00776B74">
            <w:pPr>
              <w:spacing w:after="60" w:line="264" w:lineRule="auto"/>
              <w:ind w:firstLine="0"/>
              <w:jc w:val="center"/>
              <w:rPr>
                <w:rFonts w:ascii="Times New Roman" w:hAnsi="Times New Roman"/>
                <w:b/>
                <w:sz w:val="24"/>
              </w:rPr>
            </w:pPr>
          </w:p>
        </w:tc>
        <w:tc>
          <w:tcPr>
            <w:tcW w:w="4211" w:type="dxa"/>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ind w:left="142" w:hanging="90"/>
              <w:jc w:val="center"/>
              <w:rPr>
                <w:rFonts w:ascii="Times New Roman" w:hAnsi="Times New Roman"/>
                <w:sz w:val="24"/>
              </w:rPr>
            </w:pPr>
            <w:r w:rsidRPr="00190574">
              <w:rPr>
                <w:rFonts w:ascii="Times New Roman" w:hAnsi="Times New Roman"/>
                <w:sz w:val="24"/>
              </w:rPr>
              <w:t>Sulfur dioxide</w:t>
            </w:r>
          </w:p>
        </w:tc>
      </w:tr>
      <w:tr w:rsidR="00190574" w:rsidRPr="00190574" w:rsidTr="00323F60">
        <w:trPr>
          <w:trHeight w:val="288"/>
          <w:jc w:val="center"/>
        </w:trPr>
        <w:tc>
          <w:tcPr>
            <w:tcW w:w="1185" w:type="dxa"/>
            <w:vMerge/>
            <w:shd w:val="clear" w:color="auto" w:fill="auto"/>
            <w:tcMar>
              <w:top w:w="15" w:type="dxa"/>
              <w:left w:w="15" w:type="dxa"/>
              <w:bottom w:w="0" w:type="dxa"/>
              <w:right w:w="15" w:type="dxa"/>
            </w:tcMar>
            <w:vAlign w:val="center"/>
          </w:tcPr>
          <w:p w:rsidR="00C0703B" w:rsidRPr="00190574" w:rsidRDefault="00C0703B" w:rsidP="00776B74">
            <w:pPr>
              <w:spacing w:after="60" w:line="264" w:lineRule="auto"/>
              <w:ind w:firstLine="0"/>
              <w:jc w:val="center"/>
              <w:rPr>
                <w:rFonts w:ascii="Times New Roman" w:hAnsi="Times New Roman"/>
                <w:b/>
                <w:sz w:val="24"/>
              </w:rPr>
            </w:pPr>
          </w:p>
        </w:tc>
        <w:tc>
          <w:tcPr>
            <w:tcW w:w="4211" w:type="dxa"/>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ind w:left="142" w:hanging="90"/>
              <w:jc w:val="center"/>
              <w:rPr>
                <w:rFonts w:ascii="Times New Roman" w:hAnsi="Times New Roman"/>
                <w:sz w:val="24"/>
              </w:rPr>
            </w:pPr>
            <w:r w:rsidRPr="00190574">
              <w:rPr>
                <w:rFonts w:ascii="Times New Roman" w:hAnsi="Times New Roman"/>
                <w:sz w:val="24"/>
              </w:rPr>
              <w:t xml:space="preserve">Volatile organic </w:t>
            </w:r>
            <w:r w:rsidR="00877112" w:rsidRPr="00190574">
              <w:rPr>
                <w:rFonts w:ascii="Times New Roman" w:hAnsi="Times New Roman"/>
                <w:sz w:val="24"/>
              </w:rPr>
              <w:t>compounds</w:t>
            </w:r>
          </w:p>
        </w:tc>
      </w:tr>
      <w:tr w:rsidR="00190574" w:rsidRPr="00190574" w:rsidTr="00323F60">
        <w:trPr>
          <w:trHeight w:val="288"/>
          <w:jc w:val="center"/>
        </w:trPr>
        <w:tc>
          <w:tcPr>
            <w:tcW w:w="1185" w:type="dxa"/>
            <w:vMerge w:val="restart"/>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ind w:firstLine="0"/>
              <w:jc w:val="center"/>
              <w:rPr>
                <w:rFonts w:ascii="Times New Roman" w:hAnsi="Times New Roman"/>
                <w:b/>
                <w:sz w:val="24"/>
              </w:rPr>
            </w:pPr>
            <w:r w:rsidRPr="00190574">
              <w:rPr>
                <w:rFonts w:ascii="Times New Roman" w:hAnsi="Times New Roman"/>
                <w:b/>
                <w:sz w:val="24"/>
              </w:rPr>
              <w:t>Hazardous</w:t>
            </w:r>
          </w:p>
          <w:p w:rsidR="00C0703B" w:rsidRPr="00190574" w:rsidRDefault="00C0703B" w:rsidP="00776B74">
            <w:pPr>
              <w:spacing w:after="60" w:line="264" w:lineRule="auto"/>
              <w:jc w:val="center"/>
              <w:rPr>
                <w:rFonts w:ascii="Times New Roman" w:hAnsi="Times New Roman"/>
                <w:b/>
                <w:sz w:val="24"/>
              </w:rPr>
            </w:pPr>
          </w:p>
        </w:tc>
        <w:tc>
          <w:tcPr>
            <w:tcW w:w="4211" w:type="dxa"/>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ind w:left="142" w:hanging="90"/>
              <w:jc w:val="center"/>
              <w:rPr>
                <w:rFonts w:ascii="Times New Roman" w:hAnsi="Times New Roman"/>
                <w:sz w:val="24"/>
              </w:rPr>
            </w:pPr>
            <w:r w:rsidRPr="00190574">
              <w:rPr>
                <w:rFonts w:ascii="Times New Roman" w:hAnsi="Times New Roman"/>
                <w:sz w:val="24"/>
              </w:rPr>
              <w:t>Polycyclic organic matter</w:t>
            </w:r>
          </w:p>
        </w:tc>
      </w:tr>
      <w:tr w:rsidR="00190574" w:rsidRPr="00190574" w:rsidTr="00323F60">
        <w:trPr>
          <w:trHeight w:val="288"/>
          <w:jc w:val="center"/>
        </w:trPr>
        <w:tc>
          <w:tcPr>
            <w:tcW w:w="1185" w:type="dxa"/>
            <w:vMerge/>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jc w:val="center"/>
              <w:rPr>
                <w:rFonts w:ascii="Times New Roman" w:hAnsi="Times New Roman"/>
                <w:b/>
                <w:sz w:val="24"/>
              </w:rPr>
            </w:pPr>
          </w:p>
        </w:tc>
        <w:tc>
          <w:tcPr>
            <w:tcW w:w="4211" w:type="dxa"/>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ind w:left="142" w:hanging="90"/>
              <w:jc w:val="center"/>
              <w:rPr>
                <w:rFonts w:ascii="Times New Roman" w:hAnsi="Times New Roman"/>
                <w:sz w:val="24"/>
              </w:rPr>
            </w:pPr>
            <w:r w:rsidRPr="00190574">
              <w:rPr>
                <w:rFonts w:ascii="Times New Roman" w:hAnsi="Times New Roman"/>
                <w:sz w:val="24"/>
              </w:rPr>
              <w:t>Metals</w:t>
            </w:r>
          </w:p>
        </w:tc>
      </w:tr>
      <w:tr w:rsidR="00190574" w:rsidRPr="00190574" w:rsidTr="00323F60">
        <w:trPr>
          <w:trHeight w:val="288"/>
          <w:jc w:val="center"/>
        </w:trPr>
        <w:tc>
          <w:tcPr>
            <w:tcW w:w="1185" w:type="dxa"/>
            <w:vMerge/>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jc w:val="center"/>
              <w:rPr>
                <w:rFonts w:ascii="Times New Roman" w:hAnsi="Times New Roman"/>
                <w:b/>
                <w:sz w:val="24"/>
              </w:rPr>
            </w:pPr>
          </w:p>
        </w:tc>
        <w:tc>
          <w:tcPr>
            <w:tcW w:w="4211" w:type="dxa"/>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ind w:left="142" w:hanging="90"/>
              <w:jc w:val="center"/>
              <w:rPr>
                <w:rFonts w:ascii="Times New Roman" w:hAnsi="Times New Roman"/>
                <w:sz w:val="24"/>
              </w:rPr>
            </w:pPr>
            <w:r w:rsidRPr="00190574">
              <w:rPr>
                <w:rFonts w:ascii="Times New Roman" w:hAnsi="Times New Roman"/>
                <w:sz w:val="24"/>
              </w:rPr>
              <w:t>Dioxins/furans</w:t>
            </w:r>
          </w:p>
        </w:tc>
      </w:tr>
      <w:tr w:rsidR="00190574" w:rsidRPr="00190574" w:rsidTr="00323F60">
        <w:trPr>
          <w:trHeight w:val="288"/>
          <w:jc w:val="center"/>
        </w:trPr>
        <w:tc>
          <w:tcPr>
            <w:tcW w:w="1185" w:type="dxa"/>
            <w:vMerge/>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ind w:firstLine="0"/>
              <w:jc w:val="center"/>
              <w:rPr>
                <w:rFonts w:ascii="Times New Roman" w:hAnsi="Times New Roman"/>
                <w:b/>
                <w:sz w:val="24"/>
              </w:rPr>
            </w:pPr>
          </w:p>
        </w:tc>
        <w:tc>
          <w:tcPr>
            <w:tcW w:w="4211" w:type="dxa"/>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ind w:left="142" w:hanging="90"/>
              <w:jc w:val="center"/>
              <w:rPr>
                <w:rFonts w:ascii="Times New Roman" w:hAnsi="Times New Roman"/>
                <w:sz w:val="24"/>
              </w:rPr>
            </w:pPr>
            <w:r w:rsidRPr="00190574">
              <w:rPr>
                <w:rFonts w:ascii="Times New Roman" w:hAnsi="Times New Roman"/>
                <w:sz w:val="24"/>
              </w:rPr>
              <w:t>Other HAPs emitted from fuel combustion</w:t>
            </w:r>
          </w:p>
        </w:tc>
      </w:tr>
      <w:tr w:rsidR="00190574" w:rsidRPr="00190574" w:rsidTr="00323F60">
        <w:trPr>
          <w:trHeight w:val="288"/>
          <w:jc w:val="center"/>
        </w:trPr>
        <w:tc>
          <w:tcPr>
            <w:tcW w:w="1185" w:type="dxa"/>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ind w:firstLine="0"/>
              <w:jc w:val="center"/>
              <w:rPr>
                <w:rFonts w:ascii="Times New Roman" w:hAnsi="Times New Roman"/>
                <w:b/>
                <w:sz w:val="24"/>
              </w:rPr>
            </w:pPr>
            <w:r w:rsidRPr="00190574">
              <w:rPr>
                <w:rFonts w:ascii="Times New Roman" w:hAnsi="Times New Roman"/>
                <w:b/>
                <w:sz w:val="24"/>
              </w:rPr>
              <w:t>PM Precursor</w:t>
            </w:r>
          </w:p>
        </w:tc>
        <w:tc>
          <w:tcPr>
            <w:tcW w:w="4211" w:type="dxa"/>
            <w:shd w:val="clear" w:color="auto" w:fill="auto"/>
            <w:tcMar>
              <w:top w:w="15" w:type="dxa"/>
              <w:left w:w="15" w:type="dxa"/>
              <w:bottom w:w="0" w:type="dxa"/>
              <w:right w:w="15" w:type="dxa"/>
            </w:tcMar>
            <w:vAlign w:val="center"/>
            <w:hideMark/>
          </w:tcPr>
          <w:p w:rsidR="00C0703B" w:rsidRPr="00190574" w:rsidRDefault="00C0703B" w:rsidP="00776B74">
            <w:pPr>
              <w:spacing w:after="60" w:line="264" w:lineRule="auto"/>
              <w:ind w:left="142" w:hanging="90"/>
              <w:jc w:val="center"/>
              <w:rPr>
                <w:rFonts w:ascii="Times New Roman" w:hAnsi="Times New Roman"/>
                <w:sz w:val="24"/>
              </w:rPr>
            </w:pPr>
            <w:r w:rsidRPr="00190574">
              <w:rPr>
                <w:rFonts w:ascii="Times New Roman" w:hAnsi="Times New Roman"/>
                <w:sz w:val="24"/>
              </w:rPr>
              <w:t>Ammonia</w:t>
            </w:r>
          </w:p>
        </w:tc>
      </w:tr>
    </w:tbl>
    <w:p w:rsidR="006629C8" w:rsidRPr="00190574" w:rsidRDefault="006629C8" w:rsidP="004C59D3">
      <w:pPr>
        <w:spacing w:after="180" w:line="264" w:lineRule="auto"/>
        <w:ind w:firstLine="0"/>
        <w:jc w:val="center"/>
        <w:rPr>
          <w:rFonts w:ascii="Times New Roman" w:hAnsi="Times New Roman"/>
          <w:b/>
          <w:sz w:val="24"/>
        </w:rPr>
        <w:sectPr w:rsidR="006629C8" w:rsidRPr="00190574" w:rsidSect="006629C8">
          <w:pgSz w:w="12240" w:h="15840"/>
          <w:pgMar w:top="1440" w:right="1440" w:bottom="1440" w:left="1440" w:header="720" w:footer="720" w:gutter="0"/>
          <w:cols w:space="360"/>
          <w:docGrid w:linePitch="360"/>
        </w:sectPr>
      </w:pPr>
    </w:p>
    <w:p w:rsidR="001C000E" w:rsidRPr="00190574" w:rsidRDefault="00A17563" w:rsidP="00A17563">
      <w:pPr>
        <w:pStyle w:val="Heading1ES"/>
        <w:rPr>
          <w:rFonts w:ascii="Times New Roman" w:hAnsi="Times New Roman"/>
          <w:color w:val="auto"/>
          <w:szCs w:val="28"/>
        </w:rPr>
      </w:pPr>
      <w:bookmarkStart w:id="7" w:name="_Toc484000163"/>
      <w:r w:rsidRPr="00190574">
        <w:rPr>
          <w:rFonts w:ascii="Times New Roman" w:hAnsi="Times New Roman"/>
          <w:color w:val="auto"/>
          <w:szCs w:val="28"/>
        </w:rPr>
        <w:lastRenderedPageBreak/>
        <w:t>3. Overview of Calculations</w:t>
      </w:r>
      <w:bookmarkEnd w:id="7"/>
    </w:p>
    <w:p w:rsidR="00166501" w:rsidRPr="00190574" w:rsidRDefault="00166501" w:rsidP="00A17563">
      <w:pPr>
        <w:pStyle w:val="Body"/>
        <w:spacing w:after="180" w:line="264" w:lineRule="auto"/>
        <w:rPr>
          <w:szCs w:val="24"/>
          <w:lang w:val="en-US"/>
        </w:rPr>
      </w:pPr>
      <w:r w:rsidRPr="00190574">
        <w:rPr>
          <w:szCs w:val="24"/>
          <w:lang w:val="en-US"/>
        </w:rPr>
        <w:t xml:space="preserve">ICI combustion nonpoint source emissions are calculated using Equation 1.  The sector reference represents </w:t>
      </w:r>
      <w:r w:rsidR="00EB70D0" w:rsidRPr="00190574">
        <w:rPr>
          <w:szCs w:val="24"/>
          <w:lang w:val="en-US"/>
        </w:rPr>
        <w:t>Industrial</w:t>
      </w:r>
      <w:r w:rsidRPr="00190574">
        <w:rPr>
          <w:szCs w:val="24"/>
          <w:lang w:val="en-US"/>
        </w:rPr>
        <w:t xml:space="preserve"> or Commercial/Institu</w:t>
      </w:r>
      <w:r w:rsidR="003822EA" w:rsidRPr="00190574">
        <w:rPr>
          <w:szCs w:val="24"/>
          <w:lang w:val="en-US"/>
        </w:rPr>
        <w:t>tional, and fuel types include: co</w:t>
      </w:r>
      <w:r w:rsidRPr="00190574">
        <w:rPr>
          <w:szCs w:val="24"/>
          <w:lang w:val="en-US"/>
        </w:rPr>
        <w:t>al, natural gas, distillate oil</w:t>
      </w:r>
      <w:r w:rsidR="003822EA" w:rsidRPr="00190574">
        <w:rPr>
          <w:szCs w:val="24"/>
          <w:lang w:val="en-US"/>
        </w:rPr>
        <w:t>, residual oil, liquefied petroleum gas, kerosene and wood</w:t>
      </w:r>
      <w:r w:rsidRPr="00190574">
        <w:rPr>
          <w:szCs w:val="24"/>
          <w:lang w:val="en-US"/>
        </w:rPr>
        <w:t>.</w:t>
      </w:r>
    </w:p>
    <w:p w:rsidR="00166501" w:rsidRPr="00190574" w:rsidRDefault="00190574" w:rsidP="00BF3199">
      <w:pPr>
        <w:pStyle w:val="Body"/>
        <w:tabs>
          <w:tab w:val="left" w:pos="720"/>
          <w:tab w:val="left" w:pos="2160"/>
          <w:tab w:val="left" w:pos="2700"/>
          <w:tab w:val="left" w:pos="3060"/>
          <w:tab w:val="center" w:pos="4680"/>
          <w:tab w:val="right" w:pos="9180"/>
        </w:tabs>
        <w:spacing w:after="180" w:line="264" w:lineRule="auto"/>
        <w:jc w:val="center"/>
        <w:rPr>
          <w:szCs w:val="24"/>
          <w:lang w:val="en-US"/>
        </w:rPr>
      </w:pPr>
      <m:oMath>
        <m:sSub>
          <m:sSubPr>
            <m:ctrlPr>
              <w:rPr>
                <w:rFonts w:ascii="Cambria Math" w:hAnsi="Cambria Math"/>
                <w:i/>
                <w:szCs w:val="24"/>
                <w:vertAlign w:val="subscript"/>
                <w:lang w:val="en-US"/>
              </w:rPr>
            </m:ctrlPr>
          </m:sSubPr>
          <m:e>
            <m:r>
              <w:rPr>
                <w:rFonts w:ascii="Cambria Math" w:hAnsi="Cambria Math"/>
                <w:szCs w:val="24"/>
                <w:vertAlign w:val="subscript"/>
                <w:lang w:val="en-US"/>
              </w:rPr>
              <m:t>E</m:t>
            </m:r>
          </m:e>
          <m:sub>
            <m:r>
              <w:rPr>
                <w:rFonts w:ascii="Cambria Math" w:hAnsi="Cambria Math"/>
                <w:szCs w:val="24"/>
                <w:vertAlign w:val="subscript"/>
                <w:lang w:val="en-US"/>
              </w:rPr>
              <m:t>s,f</m:t>
            </m:r>
          </m:sub>
        </m:sSub>
        <m:r>
          <w:rPr>
            <w:rFonts w:ascii="Cambria Math" w:hAnsi="Cambria Math"/>
            <w:szCs w:val="24"/>
            <w:vertAlign w:val="subscript"/>
            <w:lang w:val="en-US"/>
          </w:rPr>
          <m:t>=</m:t>
        </m:r>
        <m:sSub>
          <m:sSubPr>
            <m:ctrlPr>
              <w:rPr>
                <w:rFonts w:ascii="Cambria Math" w:hAnsi="Cambria Math"/>
                <w:i/>
                <w:szCs w:val="24"/>
                <w:vertAlign w:val="subscript"/>
                <w:lang w:val="en-US"/>
              </w:rPr>
            </m:ctrlPr>
          </m:sSubPr>
          <m:e>
            <m:r>
              <w:rPr>
                <w:rFonts w:ascii="Cambria Math" w:hAnsi="Cambria Math"/>
                <w:szCs w:val="24"/>
                <w:vertAlign w:val="subscript"/>
                <w:lang w:val="en-US"/>
              </w:rPr>
              <m:t>A</m:t>
            </m:r>
          </m:e>
          <m:sub>
            <m:r>
              <w:rPr>
                <w:rFonts w:ascii="Cambria Math" w:hAnsi="Cambria Math"/>
                <w:szCs w:val="24"/>
                <w:vertAlign w:val="subscript"/>
                <w:lang w:val="en-US"/>
              </w:rPr>
              <m:t>s,f</m:t>
            </m:r>
          </m:sub>
        </m:sSub>
        <m:r>
          <w:rPr>
            <w:rFonts w:ascii="Cambria Math" w:hAnsi="Cambria Math"/>
            <w:szCs w:val="24"/>
            <w:vertAlign w:val="subscript"/>
            <w:lang w:val="en-US"/>
          </w:rPr>
          <m:t>×</m:t>
        </m:r>
        <m:sSub>
          <m:sSubPr>
            <m:ctrlPr>
              <w:rPr>
                <w:rFonts w:ascii="Cambria Math" w:hAnsi="Cambria Math"/>
                <w:i/>
                <w:szCs w:val="24"/>
                <w:vertAlign w:val="subscript"/>
                <w:lang w:val="en-US"/>
              </w:rPr>
            </m:ctrlPr>
          </m:sSubPr>
          <m:e>
            <m:r>
              <w:rPr>
                <w:rFonts w:ascii="Cambria Math" w:hAnsi="Cambria Math"/>
                <w:szCs w:val="24"/>
                <w:vertAlign w:val="subscript"/>
                <w:lang w:val="en-US"/>
              </w:rPr>
              <m:t>F</m:t>
            </m:r>
          </m:e>
          <m:sub>
            <m:r>
              <w:rPr>
                <w:rFonts w:ascii="Cambria Math" w:hAnsi="Cambria Math"/>
                <w:szCs w:val="24"/>
                <w:vertAlign w:val="subscript"/>
                <w:lang w:val="en-US"/>
              </w:rPr>
              <m:t>s,f</m:t>
            </m:r>
          </m:sub>
        </m:sSub>
      </m:oMath>
      <w:r w:rsidR="0010313C" w:rsidRPr="00190574">
        <w:rPr>
          <w:szCs w:val="24"/>
          <w:vertAlign w:val="subscript"/>
          <w:lang w:val="en-US"/>
        </w:rPr>
        <w:tab/>
      </w:r>
      <w:r w:rsidR="0010313C" w:rsidRPr="00190574">
        <w:rPr>
          <w:szCs w:val="24"/>
          <w:lang w:val="en-US"/>
        </w:rPr>
        <w:t>(</w:t>
      </w:r>
      <w:r w:rsidR="00EB70D0" w:rsidRPr="00190574">
        <w:rPr>
          <w:szCs w:val="24"/>
          <w:lang w:val="en-US"/>
        </w:rPr>
        <w:t>1)</w:t>
      </w:r>
    </w:p>
    <w:p w:rsidR="00166501" w:rsidRPr="00190574" w:rsidRDefault="00EB70D0" w:rsidP="00A17563">
      <w:pPr>
        <w:pStyle w:val="Body"/>
        <w:tabs>
          <w:tab w:val="left" w:pos="720"/>
          <w:tab w:val="left" w:pos="2160"/>
          <w:tab w:val="left" w:pos="2700"/>
          <w:tab w:val="left" w:pos="3060"/>
        </w:tabs>
        <w:spacing w:after="180" w:line="264" w:lineRule="auto"/>
        <w:rPr>
          <w:szCs w:val="24"/>
          <w:lang w:val="en-US"/>
        </w:rPr>
      </w:pPr>
      <w:r w:rsidRPr="00190574">
        <w:rPr>
          <w:szCs w:val="24"/>
          <w:lang w:val="en-US"/>
        </w:rPr>
        <w:t xml:space="preserve">where </w:t>
      </w:r>
      <w:r w:rsidR="00166501" w:rsidRPr="00190574">
        <w:rPr>
          <w:szCs w:val="24"/>
          <w:lang w:val="en-US"/>
        </w:rPr>
        <w:t>E</w:t>
      </w:r>
      <w:r w:rsidRPr="00190574">
        <w:rPr>
          <w:szCs w:val="24"/>
          <w:lang w:val="en-US"/>
        </w:rPr>
        <w:t xml:space="preserve"> is e</w:t>
      </w:r>
      <w:r w:rsidR="00166501" w:rsidRPr="00190574">
        <w:rPr>
          <w:szCs w:val="24"/>
          <w:lang w:val="en-US"/>
        </w:rPr>
        <w:t>missions</w:t>
      </w:r>
      <w:r w:rsidRPr="00190574">
        <w:rPr>
          <w:szCs w:val="24"/>
          <w:lang w:val="en-US"/>
        </w:rPr>
        <w:t xml:space="preserve">, </w:t>
      </w:r>
      <w:r w:rsidR="00166501" w:rsidRPr="00190574">
        <w:rPr>
          <w:szCs w:val="24"/>
          <w:lang w:val="en-US"/>
        </w:rPr>
        <w:t>A</w:t>
      </w:r>
      <w:r w:rsidR="00166501" w:rsidRPr="00190574">
        <w:rPr>
          <w:szCs w:val="24"/>
          <w:lang w:val="en-US"/>
        </w:rPr>
        <w:tab/>
      </w:r>
      <w:r w:rsidRPr="00190574">
        <w:rPr>
          <w:szCs w:val="24"/>
          <w:lang w:val="en-US"/>
        </w:rPr>
        <w:t xml:space="preserve"> is a</w:t>
      </w:r>
      <w:r w:rsidR="00166501" w:rsidRPr="00190574">
        <w:rPr>
          <w:szCs w:val="24"/>
          <w:lang w:val="en-US"/>
        </w:rPr>
        <w:t>ctivity</w:t>
      </w:r>
      <w:r w:rsidR="0010313C" w:rsidRPr="00190574">
        <w:rPr>
          <w:szCs w:val="24"/>
          <w:lang w:val="en-US"/>
        </w:rPr>
        <w:t xml:space="preserve"> data (fuel combusted)</w:t>
      </w:r>
      <w:r w:rsidRPr="00190574">
        <w:rPr>
          <w:szCs w:val="24"/>
          <w:lang w:val="en-US"/>
        </w:rPr>
        <w:t xml:space="preserve">, </w:t>
      </w:r>
      <w:r w:rsidR="00166501" w:rsidRPr="00190574">
        <w:rPr>
          <w:szCs w:val="24"/>
          <w:lang w:val="en-US"/>
        </w:rPr>
        <w:t>F</w:t>
      </w:r>
      <w:r w:rsidR="0010313C" w:rsidRPr="00190574">
        <w:rPr>
          <w:szCs w:val="24"/>
          <w:lang w:val="en-US"/>
        </w:rPr>
        <w:t xml:space="preserve"> </w:t>
      </w:r>
      <w:r w:rsidRPr="00190574">
        <w:rPr>
          <w:szCs w:val="24"/>
          <w:lang w:val="en-US"/>
        </w:rPr>
        <w:t xml:space="preserve">is </w:t>
      </w:r>
      <w:r w:rsidR="0010313C" w:rsidRPr="00190574">
        <w:rPr>
          <w:szCs w:val="24"/>
          <w:lang w:val="en-US"/>
        </w:rPr>
        <w:t xml:space="preserve">the </w:t>
      </w:r>
      <w:r w:rsidRPr="00190574">
        <w:rPr>
          <w:szCs w:val="24"/>
          <w:lang w:val="en-US"/>
        </w:rPr>
        <w:t>emission f</w:t>
      </w:r>
      <w:r w:rsidR="00166501" w:rsidRPr="00190574">
        <w:rPr>
          <w:szCs w:val="24"/>
          <w:lang w:val="en-US"/>
        </w:rPr>
        <w:t>actor</w:t>
      </w:r>
      <w:r w:rsidRPr="00190574">
        <w:rPr>
          <w:szCs w:val="24"/>
          <w:lang w:val="en-US"/>
        </w:rPr>
        <w:t xml:space="preserve">, </w:t>
      </w:r>
      <w:r w:rsidR="0010313C" w:rsidRPr="00190574">
        <w:rPr>
          <w:szCs w:val="24"/>
          <w:lang w:val="en-US"/>
        </w:rPr>
        <w:t>s</w:t>
      </w:r>
      <w:r w:rsidRPr="00190574">
        <w:rPr>
          <w:szCs w:val="24"/>
          <w:lang w:val="en-US"/>
        </w:rPr>
        <w:t xml:space="preserve"> is</w:t>
      </w:r>
      <w:r w:rsidRPr="00190574">
        <w:rPr>
          <w:szCs w:val="24"/>
          <w:vertAlign w:val="subscript"/>
          <w:lang w:val="en-US"/>
        </w:rPr>
        <w:t xml:space="preserve"> </w:t>
      </w:r>
      <w:r w:rsidR="00166501" w:rsidRPr="00190574">
        <w:rPr>
          <w:szCs w:val="24"/>
          <w:lang w:val="en-US"/>
        </w:rPr>
        <w:t>sector</w:t>
      </w:r>
      <w:r w:rsidRPr="00190574">
        <w:rPr>
          <w:szCs w:val="24"/>
          <w:lang w:val="en-US"/>
        </w:rPr>
        <w:t xml:space="preserve">, and </w:t>
      </w:r>
      <w:r w:rsidR="00166501" w:rsidRPr="00190574">
        <w:rPr>
          <w:szCs w:val="24"/>
          <w:lang w:val="en-US"/>
        </w:rPr>
        <w:t>f</w:t>
      </w:r>
      <w:r w:rsidRPr="00190574">
        <w:rPr>
          <w:szCs w:val="24"/>
          <w:lang w:val="en-US"/>
        </w:rPr>
        <w:t xml:space="preserve"> is </w:t>
      </w:r>
      <w:r w:rsidR="00166501" w:rsidRPr="00190574">
        <w:rPr>
          <w:szCs w:val="24"/>
          <w:lang w:val="en-US"/>
        </w:rPr>
        <w:t>fuel type</w:t>
      </w:r>
      <w:r w:rsidRPr="00190574">
        <w:rPr>
          <w:szCs w:val="24"/>
          <w:lang w:val="en-US"/>
        </w:rPr>
        <w:t>.</w:t>
      </w:r>
    </w:p>
    <w:p w:rsidR="00166501" w:rsidRPr="00190574" w:rsidRDefault="00166501" w:rsidP="00A17563">
      <w:pPr>
        <w:pStyle w:val="Body"/>
        <w:spacing w:after="180" w:line="264" w:lineRule="auto"/>
        <w:rPr>
          <w:szCs w:val="24"/>
          <w:lang w:val="en-US"/>
        </w:rPr>
      </w:pPr>
      <w:r w:rsidRPr="00190574">
        <w:rPr>
          <w:szCs w:val="24"/>
          <w:lang w:val="en-US"/>
        </w:rPr>
        <w:t>The key emissions activity data inputs in the emissions estimation methodology are:</w:t>
      </w:r>
    </w:p>
    <w:p w:rsidR="00166501" w:rsidRPr="00190574" w:rsidRDefault="00166501" w:rsidP="00A17563">
      <w:pPr>
        <w:pStyle w:val="Body"/>
        <w:numPr>
          <w:ilvl w:val="0"/>
          <w:numId w:val="21"/>
        </w:numPr>
        <w:spacing w:line="264" w:lineRule="auto"/>
        <w:rPr>
          <w:szCs w:val="24"/>
          <w:lang w:val="en-US"/>
        </w:rPr>
      </w:pPr>
      <w:r w:rsidRPr="00190574">
        <w:rPr>
          <w:szCs w:val="24"/>
          <w:lang w:val="en-US"/>
        </w:rPr>
        <w:t>Total Industrial and total Commercial/Institutional energy consumption by fuel type and state for a given year;</w:t>
      </w:r>
    </w:p>
    <w:p w:rsidR="00166501" w:rsidRPr="00190574" w:rsidRDefault="00166501" w:rsidP="00A17563">
      <w:pPr>
        <w:pStyle w:val="Body"/>
        <w:numPr>
          <w:ilvl w:val="0"/>
          <w:numId w:val="21"/>
        </w:numPr>
        <w:spacing w:line="264" w:lineRule="auto"/>
        <w:rPr>
          <w:szCs w:val="24"/>
          <w:lang w:val="en-US"/>
        </w:rPr>
      </w:pPr>
      <w:r w:rsidRPr="00190574">
        <w:rPr>
          <w:szCs w:val="24"/>
          <w:lang w:val="en-US"/>
        </w:rPr>
        <w:t>Industrial energy consumed for non-fuel purposes by fuel type and state in that year;</w:t>
      </w:r>
    </w:p>
    <w:p w:rsidR="00166501" w:rsidRPr="00190574" w:rsidRDefault="00166501" w:rsidP="00A17563">
      <w:pPr>
        <w:pStyle w:val="Body"/>
        <w:numPr>
          <w:ilvl w:val="0"/>
          <w:numId w:val="21"/>
        </w:numPr>
        <w:spacing w:line="264" w:lineRule="auto"/>
        <w:rPr>
          <w:szCs w:val="24"/>
          <w:lang w:val="en-US"/>
        </w:rPr>
      </w:pPr>
      <w:r w:rsidRPr="00190574">
        <w:rPr>
          <w:szCs w:val="24"/>
          <w:lang w:val="en-US"/>
        </w:rPr>
        <w:t>ICI distillate oil and liquefied petroleum gas (LPG) consumption by state from nonroad mobile sources for the year of interest;</w:t>
      </w:r>
    </w:p>
    <w:p w:rsidR="00166501" w:rsidRPr="00190574" w:rsidRDefault="00166501" w:rsidP="00A17563">
      <w:pPr>
        <w:pStyle w:val="Body"/>
        <w:numPr>
          <w:ilvl w:val="0"/>
          <w:numId w:val="21"/>
        </w:numPr>
        <w:spacing w:line="264" w:lineRule="auto"/>
        <w:rPr>
          <w:szCs w:val="24"/>
          <w:lang w:val="en-US"/>
        </w:rPr>
      </w:pPr>
      <w:r w:rsidRPr="00190574">
        <w:rPr>
          <w:szCs w:val="24"/>
          <w:lang w:val="en-US"/>
        </w:rPr>
        <w:t>ICI energy consumption by sector, state, and fuel type for point sources for the given year; and</w:t>
      </w:r>
    </w:p>
    <w:p w:rsidR="00166501" w:rsidRPr="00190574" w:rsidRDefault="00166501" w:rsidP="00A17563">
      <w:pPr>
        <w:pStyle w:val="ListParagraph"/>
        <w:numPr>
          <w:ilvl w:val="0"/>
          <w:numId w:val="21"/>
        </w:numPr>
        <w:spacing w:after="180" w:line="264" w:lineRule="auto"/>
        <w:rPr>
          <w:szCs w:val="24"/>
          <w:lang w:eastAsia="x-none"/>
        </w:rPr>
      </w:pPr>
      <w:r w:rsidRPr="00190574">
        <w:rPr>
          <w:szCs w:val="24"/>
          <w:lang w:eastAsia="x-none"/>
        </w:rPr>
        <w:t>County-level employment by ICI sector and state for the year of interest.</w:t>
      </w:r>
    </w:p>
    <w:p w:rsidR="00166501" w:rsidRPr="00190574" w:rsidRDefault="00166501" w:rsidP="00A17563">
      <w:pPr>
        <w:pStyle w:val="Body"/>
        <w:spacing w:after="180" w:line="264" w:lineRule="auto"/>
        <w:rPr>
          <w:szCs w:val="24"/>
          <w:lang w:val="en-US"/>
        </w:rPr>
      </w:pPr>
      <w:r w:rsidRPr="00190574">
        <w:rPr>
          <w:szCs w:val="24"/>
          <w:lang w:val="en-US"/>
        </w:rPr>
        <w:t xml:space="preserve">The </w:t>
      </w:r>
      <w:r w:rsidR="003822EA" w:rsidRPr="00190574">
        <w:rPr>
          <w:szCs w:val="24"/>
          <w:lang w:val="en-US"/>
        </w:rPr>
        <w:t>ICI Tool</w:t>
      </w:r>
      <w:r w:rsidRPr="00190574">
        <w:rPr>
          <w:szCs w:val="24"/>
          <w:lang w:val="en-US"/>
        </w:rPr>
        <w:t xml:space="preserve"> also relies on emission factors relating emission rates to the volume of </w:t>
      </w:r>
      <w:r w:rsidR="00DA2A9E" w:rsidRPr="00190574">
        <w:rPr>
          <w:szCs w:val="24"/>
          <w:lang w:val="en-US"/>
        </w:rPr>
        <w:t>fuel</w:t>
      </w:r>
      <w:r w:rsidRPr="00190574">
        <w:rPr>
          <w:szCs w:val="24"/>
          <w:lang w:val="en-US"/>
        </w:rPr>
        <w:t xml:space="preserve"> burned by sector/fuel type, and the sulfur content of coal consumed in each sector by state for the given year.</w:t>
      </w:r>
    </w:p>
    <w:p w:rsidR="001C000E" w:rsidRPr="00190574" w:rsidRDefault="00166501" w:rsidP="00A17563">
      <w:pPr>
        <w:pStyle w:val="Body"/>
        <w:spacing w:after="180" w:line="264" w:lineRule="auto"/>
        <w:rPr>
          <w:szCs w:val="24"/>
        </w:rPr>
      </w:pPr>
      <w:r w:rsidRPr="00190574">
        <w:rPr>
          <w:szCs w:val="24"/>
          <w:lang w:val="en-US"/>
        </w:rPr>
        <w:t>ICI combustion emissions are directly related to the sector, type, and volume of fuel burned. The EIA is responsible for developing official federal government estimates of energy consumption.  The EIA estimates annual energy consumption at the state-level as part of the State Energy Data System (SEDS) (</w:t>
      </w:r>
      <w:r w:rsidR="00222FC2" w:rsidRPr="00190574">
        <w:rPr>
          <w:szCs w:val="24"/>
          <w:lang w:val="en-US"/>
        </w:rPr>
        <w:t>EIA, 2015a</w:t>
      </w:r>
      <w:r w:rsidRPr="00190574">
        <w:rPr>
          <w:szCs w:val="24"/>
          <w:lang w:val="en-US"/>
        </w:rPr>
        <w:t xml:space="preserve">).  </w:t>
      </w:r>
      <w:r w:rsidRPr="00190574">
        <w:rPr>
          <w:szCs w:val="24"/>
        </w:rPr>
        <w:t xml:space="preserve">The SEDS reports energy consumption estimates by </w:t>
      </w:r>
      <w:r w:rsidRPr="00190574">
        <w:rPr>
          <w:szCs w:val="24"/>
          <w:lang w:val="en-US"/>
        </w:rPr>
        <w:t xml:space="preserve">state, </w:t>
      </w:r>
      <w:r w:rsidRPr="00190574">
        <w:rPr>
          <w:szCs w:val="24"/>
        </w:rPr>
        <w:t xml:space="preserve">sector, fuel type, and year.  </w:t>
      </w:r>
      <w:r w:rsidRPr="00190574">
        <w:rPr>
          <w:szCs w:val="24"/>
          <w:lang w:val="en-US"/>
        </w:rPr>
        <w:t xml:space="preserve">The SEDS provides data for each of five consuming sectors, including Industrial and Commercial (note that the SEDS’ definition of “Commercial” includes Institutional sector use).  The EIA also publishes additional detailed estimates of state-level fuel oil and kerosene consumption estimates in their </w:t>
      </w:r>
      <w:r w:rsidRPr="00190574">
        <w:rPr>
          <w:i/>
          <w:szCs w:val="24"/>
          <w:lang w:val="en-US"/>
        </w:rPr>
        <w:t>Fuel Oil and Kerosene Sales</w:t>
      </w:r>
      <w:r w:rsidRPr="00190574">
        <w:rPr>
          <w:szCs w:val="24"/>
          <w:lang w:val="en-US"/>
        </w:rPr>
        <w:t xml:space="preserve"> publication (</w:t>
      </w:r>
      <w:r w:rsidR="00E01B12" w:rsidRPr="00190574">
        <w:rPr>
          <w:szCs w:val="24"/>
          <w:lang w:val="en-US"/>
        </w:rPr>
        <w:t>EIA, 2013</w:t>
      </w:r>
      <w:r w:rsidR="00C674E8" w:rsidRPr="00190574">
        <w:rPr>
          <w:szCs w:val="24"/>
          <w:lang w:val="en-US"/>
        </w:rPr>
        <w:t>a</w:t>
      </w:r>
      <w:r w:rsidRPr="00190574">
        <w:rPr>
          <w:szCs w:val="24"/>
          <w:lang w:val="en-US"/>
        </w:rPr>
        <w:t xml:space="preserve">).  </w:t>
      </w:r>
      <w:r w:rsidR="003822EA" w:rsidRPr="00190574">
        <w:rPr>
          <w:szCs w:val="24"/>
          <w:lang w:val="en-US"/>
        </w:rPr>
        <w:t>This</w:t>
      </w:r>
      <w:r w:rsidRPr="00190574">
        <w:rPr>
          <w:szCs w:val="24"/>
          <w:lang w:val="en-US"/>
        </w:rPr>
        <w:t xml:space="preserve"> publication provides state-level annual end use sales of No.1, No. 2, and No. 4 distillate fuel oil for commercial, industrial, oil company, farm, off-highway construction, and other u</w:t>
      </w:r>
      <w:r w:rsidR="003822EA" w:rsidRPr="00190574">
        <w:rPr>
          <w:szCs w:val="24"/>
          <w:lang w:val="en-US"/>
        </w:rPr>
        <w:t>ses – these data ar</w:t>
      </w:r>
      <w:r w:rsidRPr="00190574">
        <w:rPr>
          <w:szCs w:val="24"/>
          <w:lang w:val="en-US"/>
        </w:rPr>
        <w:t>e used to differentiate stationary from mobile source distillate fuel consumption.</w:t>
      </w:r>
      <w:r w:rsidR="001C000E" w:rsidRPr="00190574">
        <w:rPr>
          <w:szCs w:val="24"/>
        </w:rPr>
        <w:t xml:space="preserve"> </w:t>
      </w:r>
    </w:p>
    <w:p w:rsidR="006629C8" w:rsidRPr="00190574" w:rsidRDefault="006629C8" w:rsidP="00A17563">
      <w:pPr>
        <w:spacing w:after="180" w:line="264" w:lineRule="auto"/>
        <w:rPr>
          <w:rFonts w:ascii="Times New Roman" w:hAnsi="Times New Roman"/>
          <w:sz w:val="24"/>
        </w:rPr>
        <w:sectPr w:rsidR="006629C8" w:rsidRPr="00190574" w:rsidSect="006629C8">
          <w:headerReference w:type="default" r:id="rId19"/>
          <w:pgSz w:w="12240" w:h="15840"/>
          <w:pgMar w:top="1440" w:right="1440" w:bottom="1440" w:left="1440" w:header="720" w:footer="720" w:gutter="0"/>
          <w:cols w:space="360"/>
          <w:docGrid w:linePitch="360"/>
        </w:sectPr>
      </w:pPr>
    </w:p>
    <w:p w:rsidR="001C000E" w:rsidRPr="00190574" w:rsidRDefault="00A17563" w:rsidP="00A17563">
      <w:pPr>
        <w:pStyle w:val="Heading1ES"/>
        <w:rPr>
          <w:rFonts w:ascii="Times New Roman" w:hAnsi="Times New Roman"/>
          <w:color w:val="auto"/>
          <w:sz w:val="24"/>
          <w:szCs w:val="24"/>
        </w:rPr>
      </w:pPr>
      <w:bookmarkStart w:id="8" w:name="_Toc484000164"/>
      <w:r w:rsidRPr="00190574">
        <w:rPr>
          <w:rFonts w:ascii="Times New Roman" w:hAnsi="Times New Roman"/>
          <w:color w:val="auto"/>
          <w:sz w:val="24"/>
          <w:szCs w:val="24"/>
        </w:rPr>
        <w:lastRenderedPageBreak/>
        <w:t>4</w:t>
      </w:r>
      <w:r w:rsidR="001C000E" w:rsidRPr="00190574">
        <w:rPr>
          <w:rFonts w:ascii="Times New Roman" w:hAnsi="Times New Roman"/>
          <w:color w:val="auto"/>
          <w:sz w:val="24"/>
          <w:szCs w:val="24"/>
        </w:rPr>
        <w:t xml:space="preserve">. </w:t>
      </w:r>
      <w:r w:rsidRPr="00190574">
        <w:rPr>
          <w:rFonts w:ascii="Times New Roman" w:hAnsi="Times New Roman"/>
          <w:color w:val="auto"/>
          <w:szCs w:val="28"/>
        </w:rPr>
        <w:t>Activity Data Adjustments</w:t>
      </w:r>
      <w:bookmarkEnd w:id="8"/>
    </w:p>
    <w:p w:rsidR="00166501" w:rsidRPr="00190574" w:rsidRDefault="006629C8" w:rsidP="00A17563">
      <w:pPr>
        <w:pStyle w:val="Heading2"/>
        <w:rPr>
          <w:rFonts w:ascii="Times New Roman" w:hAnsi="Times New Roman" w:cs="Times New Roman"/>
          <w:color w:val="auto"/>
          <w:sz w:val="28"/>
        </w:rPr>
      </w:pPr>
      <w:bookmarkStart w:id="9" w:name="_Toc164757207"/>
      <w:bookmarkStart w:id="10" w:name="_Toc208137325"/>
      <w:bookmarkStart w:id="11" w:name="_Toc208137733"/>
      <w:bookmarkStart w:id="12" w:name="_Toc322606168"/>
      <w:bookmarkStart w:id="13" w:name="_Toc412622461"/>
      <w:bookmarkStart w:id="14" w:name="_Toc484000165"/>
      <w:r w:rsidRPr="00190574">
        <w:rPr>
          <w:rFonts w:ascii="Times New Roman" w:hAnsi="Times New Roman" w:cs="Times New Roman"/>
          <w:color w:val="auto"/>
          <w:sz w:val="28"/>
        </w:rPr>
        <w:t>4</w:t>
      </w:r>
      <w:r w:rsidR="00A17563" w:rsidRPr="00190574">
        <w:rPr>
          <w:rFonts w:ascii="Times New Roman" w:hAnsi="Times New Roman" w:cs="Times New Roman"/>
          <w:color w:val="auto"/>
          <w:sz w:val="28"/>
        </w:rPr>
        <w:t>.1 Fuel Specific Data Adjustments</w:t>
      </w:r>
      <w:bookmarkEnd w:id="9"/>
      <w:bookmarkEnd w:id="10"/>
      <w:bookmarkEnd w:id="11"/>
      <w:bookmarkEnd w:id="12"/>
      <w:bookmarkEnd w:id="13"/>
      <w:bookmarkEnd w:id="14"/>
    </w:p>
    <w:p w:rsidR="001C000E" w:rsidRPr="00190574" w:rsidRDefault="00166501" w:rsidP="00A17563">
      <w:pPr>
        <w:spacing w:after="180" w:line="264" w:lineRule="auto"/>
        <w:ind w:firstLine="0"/>
        <w:rPr>
          <w:rFonts w:ascii="Times New Roman" w:hAnsi="Times New Roman"/>
          <w:sz w:val="24"/>
        </w:rPr>
      </w:pPr>
      <w:r w:rsidRPr="00190574">
        <w:rPr>
          <w:rFonts w:ascii="Times New Roman" w:hAnsi="Times New Roman"/>
          <w:b/>
          <w:bCs/>
          <w:sz w:val="24"/>
        </w:rPr>
        <w:t xml:space="preserve">Coal – </w:t>
      </w:r>
      <w:r w:rsidRPr="00190574">
        <w:rPr>
          <w:rFonts w:ascii="Times New Roman" w:hAnsi="Times New Roman"/>
          <w:sz w:val="24"/>
        </w:rPr>
        <w:t xml:space="preserve">For coal combustion, it is necessary to compile data representing a subset of total sector coal consumption. Data representing non-coke plant consumption </w:t>
      </w:r>
      <w:r w:rsidR="003822EA" w:rsidRPr="00190574">
        <w:rPr>
          <w:rFonts w:ascii="Times New Roman" w:hAnsi="Times New Roman"/>
          <w:sz w:val="24"/>
        </w:rPr>
        <w:t>are</w:t>
      </w:r>
      <w:r w:rsidRPr="00190574">
        <w:rPr>
          <w:rFonts w:ascii="Times New Roman" w:hAnsi="Times New Roman"/>
          <w:sz w:val="24"/>
        </w:rPr>
        <w:t xml:space="preserve"> compiled from EIA because coal consumed by coke plants is accounted for in the point source inventory. The SEDS data do not provide coal consumption estimates by type of coal (i.e., anthracite versus bituminous/subbituminous). Therefore, state-level ICI coal distribution data for </w:t>
      </w:r>
      <w:r w:rsidR="00222FC2" w:rsidRPr="00190574">
        <w:rPr>
          <w:rFonts w:ascii="Times New Roman" w:hAnsi="Times New Roman"/>
          <w:sz w:val="24"/>
        </w:rPr>
        <w:t>2013</w:t>
      </w:r>
      <w:r w:rsidRPr="00190574">
        <w:rPr>
          <w:rFonts w:ascii="Times New Roman" w:hAnsi="Times New Roman"/>
          <w:sz w:val="24"/>
        </w:rPr>
        <w:t xml:space="preserve"> from the EIA’s </w:t>
      </w:r>
      <w:r w:rsidRPr="00190574">
        <w:rPr>
          <w:rFonts w:ascii="Times New Roman" w:hAnsi="Times New Roman"/>
          <w:i/>
          <w:iCs/>
          <w:sz w:val="24"/>
        </w:rPr>
        <w:t xml:space="preserve">Annual Coal Distribution Report </w:t>
      </w:r>
      <w:r w:rsidR="00222FC2" w:rsidRPr="00190574">
        <w:rPr>
          <w:rFonts w:ascii="Times New Roman" w:hAnsi="Times New Roman"/>
          <w:i/>
          <w:iCs/>
          <w:sz w:val="24"/>
        </w:rPr>
        <w:t>2013</w:t>
      </w:r>
      <w:r w:rsidRPr="00190574">
        <w:rPr>
          <w:rFonts w:ascii="Times New Roman" w:hAnsi="Times New Roman"/>
          <w:i/>
          <w:iCs/>
          <w:sz w:val="24"/>
        </w:rPr>
        <w:t xml:space="preserve"> </w:t>
      </w:r>
      <w:r w:rsidR="003822EA" w:rsidRPr="00190574">
        <w:rPr>
          <w:rFonts w:ascii="Times New Roman" w:hAnsi="Times New Roman"/>
          <w:sz w:val="24"/>
        </w:rPr>
        <w:t>are</w:t>
      </w:r>
      <w:r w:rsidRPr="00190574">
        <w:rPr>
          <w:rFonts w:ascii="Times New Roman" w:hAnsi="Times New Roman"/>
          <w:sz w:val="24"/>
        </w:rPr>
        <w:t xml:space="preserve"> used to allocate coal consumption between the two types of coal (EIA, 201</w:t>
      </w:r>
      <w:r w:rsidR="00222FC2" w:rsidRPr="00190574">
        <w:rPr>
          <w:rFonts w:ascii="Times New Roman" w:hAnsi="Times New Roman"/>
          <w:sz w:val="24"/>
        </w:rPr>
        <w:t>5</w:t>
      </w:r>
      <w:r w:rsidR="00C674E8" w:rsidRPr="00190574">
        <w:rPr>
          <w:rFonts w:ascii="Times New Roman" w:hAnsi="Times New Roman"/>
          <w:sz w:val="24"/>
        </w:rPr>
        <w:t>b</w:t>
      </w:r>
      <w:r w:rsidRPr="00190574">
        <w:rPr>
          <w:rFonts w:ascii="Times New Roman" w:hAnsi="Times New Roman"/>
          <w:sz w:val="24"/>
        </w:rPr>
        <w:t xml:space="preserve">). The </w:t>
      </w:r>
      <w:r w:rsidR="00222FC2" w:rsidRPr="00190574">
        <w:rPr>
          <w:rFonts w:ascii="Times New Roman" w:hAnsi="Times New Roman"/>
          <w:sz w:val="24"/>
        </w:rPr>
        <w:t>2013</w:t>
      </w:r>
      <w:r w:rsidRPr="00190574">
        <w:rPr>
          <w:rFonts w:ascii="Times New Roman" w:hAnsi="Times New Roman"/>
          <w:sz w:val="24"/>
        </w:rPr>
        <w:t xml:space="preserve"> ratio of anthracite coal consumption to total coal consumption </w:t>
      </w:r>
      <w:r w:rsidR="003822EA" w:rsidRPr="00190574">
        <w:rPr>
          <w:rFonts w:ascii="Times New Roman" w:hAnsi="Times New Roman"/>
          <w:sz w:val="24"/>
        </w:rPr>
        <w:t>is</w:t>
      </w:r>
      <w:r w:rsidRPr="00190574">
        <w:rPr>
          <w:rFonts w:ascii="Times New Roman" w:hAnsi="Times New Roman"/>
          <w:sz w:val="24"/>
        </w:rPr>
        <w:t xml:space="preserve"> use</w:t>
      </w:r>
      <w:r w:rsidR="00D943A0" w:rsidRPr="00190574">
        <w:rPr>
          <w:rFonts w:ascii="Times New Roman" w:hAnsi="Times New Roman"/>
          <w:sz w:val="24"/>
        </w:rPr>
        <w:t>d for this allocation procedure</w:t>
      </w:r>
      <w:r w:rsidR="001C000E" w:rsidRPr="00190574">
        <w:rPr>
          <w:rFonts w:ascii="Times New Roman" w:hAnsi="Times New Roman"/>
          <w:sz w:val="24"/>
        </w:rPr>
        <w:t>.</w:t>
      </w:r>
    </w:p>
    <w:p w:rsidR="00D943A0" w:rsidRPr="00190574" w:rsidRDefault="00D943A0" w:rsidP="00A17563">
      <w:pPr>
        <w:pStyle w:val="Default"/>
        <w:spacing w:after="180" w:line="264" w:lineRule="auto"/>
        <w:rPr>
          <w:color w:val="auto"/>
        </w:rPr>
      </w:pPr>
      <w:r w:rsidRPr="00190574">
        <w:rPr>
          <w:b/>
          <w:bCs/>
          <w:color w:val="auto"/>
        </w:rPr>
        <w:t xml:space="preserve">Distillate Oil and LPG – </w:t>
      </w:r>
      <w:r w:rsidRPr="00190574">
        <w:rPr>
          <w:color w:val="auto"/>
        </w:rPr>
        <w:t xml:space="preserve">The SEDS ICI distillate oil and LPG consumption data include consumption estimates for equipment that are typically included in the nonroad sector inventory. In particular, SEDS considers the following nonroad source category activities to be part of the industrial sector: farming, logging, mining, and construction. </w:t>
      </w:r>
    </w:p>
    <w:p w:rsidR="00D943A0" w:rsidRPr="00190574" w:rsidRDefault="00D943A0" w:rsidP="00A17563">
      <w:pPr>
        <w:pStyle w:val="Default"/>
        <w:spacing w:after="180" w:line="264" w:lineRule="auto"/>
        <w:rPr>
          <w:color w:val="auto"/>
        </w:rPr>
      </w:pPr>
      <w:r w:rsidRPr="00190574">
        <w:rPr>
          <w:color w:val="auto"/>
        </w:rPr>
        <w:t xml:space="preserve">In order to avoid double-counting of distillate oil consumption between the nonpoint and nonroad sector emission inventories, the more detailed distillate oil consumption estimates reported in EIA’s </w:t>
      </w:r>
      <w:r w:rsidRPr="00190574">
        <w:rPr>
          <w:i/>
          <w:iCs/>
          <w:color w:val="auto"/>
        </w:rPr>
        <w:t xml:space="preserve">Fuel Oil and Kerosene Sales </w:t>
      </w:r>
      <w:r w:rsidR="003822EA" w:rsidRPr="00190574">
        <w:rPr>
          <w:color w:val="auto"/>
        </w:rPr>
        <w:t>are</w:t>
      </w:r>
      <w:r w:rsidRPr="00190574">
        <w:rPr>
          <w:color w:val="auto"/>
        </w:rPr>
        <w:t xml:space="preserve"> combined with assumptions used in the regulatory impact analysis (RIA) for EPA’s nonroad diesel emissions rulemaking (EIA, 201</w:t>
      </w:r>
      <w:r w:rsidR="00222FC2" w:rsidRPr="00190574">
        <w:rPr>
          <w:color w:val="auto"/>
        </w:rPr>
        <w:t>5b</w:t>
      </w:r>
      <w:r w:rsidRPr="00190574">
        <w:rPr>
          <w:color w:val="auto"/>
        </w:rPr>
        <w:t xml:space="preserve">; EPA, 2003). </w:t>
      </w:r>
    </w:p>
    <w:p w:rsidR="00EA4BF9" w:rsidRPr="00190574" w:rsidRDefault="00EA4BF9" w:rsidP="00EA4BF9">
      <w:pPr>
        <w:pStyle w:val="Default"/>
        <w:spacing w:after="180" w:line="264" w:lineRule="auto"/>
        <w:rPr>
          <w:color w:val="auto"/>
        </w:rPr>
      </w:pPr>
      <w:r w:rsidRPr="00190574">
        <w:rPr>
          <w:color w:val="auto"/>
        </w:rPr>
        <w:t xml:space="preserve">For distillate fuel, </w:t>
      </w:r>
      <w:r w:rsidRPr="00190574">
        <w:rPr>
          <w:color w:val="auto"/>
        </w:rPr>
        <w:fldChar w:fldCharType="begin"/>
      </w:r>
      <w:r w:rsidRPr="00190574">
        <w:rPr>
          <w:color w:val="auto"/>
        </w:rPr>
        <w:instrText xml:space="preserve"> REF _Ref416179856 \h </w:instrText>
      </w:r>
      <w:r w:rsidRPr="00190574">
        <w:rPr>
          <w:color w:val="auto"/>
        </w:rPr>
      </w:r>
      <w:r w:rsidR="00190574" w:rsidRPr="00190574">
        <w:rPr>
          <w:color w:val="auto"/>
        </w:rPr>
        <w:instrText xml:space="preserve"> \* MERGEFORMAT </w:instrText>
      </w:r>
      <w:r w:rsidRPr="00190574">
        <w:rPr>
          <w:color w:val="auto"/>
        </w:rPr>
        <w:fldChar w:fldCharType="separate"/>
      </w:r>
      <w:r w:rsidR="0021591B" w:rsidRPr="00190574">
        <w:rPr>
          <w:color w:val="auto"/>
        </w:rPr>
        <w:t xml:space="preserve">Table </w:t>
      </w:r>
      <w:r w:rsidR="0021591B" w:rsidRPr="00190574">
        <w:rPr>
          <w:noProof/>
          <w:color w:val="auto"/>
        </w:rPr>
        <w:t>3</w:t>
      </w:r>
      <w:r w:rsidRPr="00190574">
        <w:rPr>
          <w:color w:val="auto"/>
        </w:rPr>
        <w:fldChar w:fldCharType="end"/>
      </w:r>
      <w:r w:rsidRPr="00190574">
        <w:rPr>
          <w:color w:val="auto"/>
        </w:rPr>
        <w:t xml:space="preserve"> presents the assumptions that </w:t>
      </w:r>
      <w:r w:rsidR="00323F60" w:rsidRPr="00190574">
        <w:rPr>
          <w:color w:val="auto"/>
        </w:rPr>
        <w:t>are</w:t>
      </w:r>
      <w:r w:rsidRPr="00190574">
        <w:rPr>
          <w:color w:val="auto"/>
        </w:rPr>
        <w:t xml:space="preserve"> applied to the state-level Commercial sector distillate oil consumption data published in </w:t>
      </w:r>
      <w:r w:rsidRPr="00190574">
        <w:rPr>
          <w:i/>
          <w:iCs/>
          <w:color w:val="auto"/>
        </w:rPr>
        <w:t xml:space="preserve">Fuel Oil and Kerosene Sales </w:t>
      </w:r>
      <w:r w:rsidRPr="00190574">
        <w:rPr>
          <w:color w:val="auto"/>
        </w:rPr>
        <w:t>to estimate Commercial sector stationary source consumption.</w:t>
      </w:r>
    </w:p>
    <w:p w:rsidR="00CD2321" w:rsidRPr="00190574" w:rsidRDefault="00CD2321" w:rsidP="00CD2321">
      <w:pPr>
        <w:pStyle w:val="Caption"/>
        <w:keepNext/>
        <w:ind w:firstLine="0"/>
        <w:jc w:val="center"/>
        <w:rPr>
          <w:rFonts w:ascii="Times New Roman" w:hAnsi="Times New Roman"/>
          <w:sz w:val="24"/>
          <w:szCs w:val="24"/>
        </w:rPr>
      </w:pPr>
      <w:bookmarkStart w:id="15" w:name="_Ref416179856"/>
      <w:bookmarkStart w:id="16" w:name="_Toc484000180"/>
      <w:r w:rsidRPr="00190574">
        <w:rPr>
          <w:rFonts w:ascii="Times New Roman" w:hAnsi="Times New Roman"/>
          <w:sz w:val="24"/>
          <w:szCs w:val="24"/>
        </w:rPr>
        <w:t xml:space="preserve">Table </w:t>
      </w:r>
      <w:r w:rsidR="006100DB" w:rsidRPr="00190574">
        <w:rPr>
          <w:rFonts w:ascii="Times New Roman" w:hAnsi="Times New Roman"/>
          <w:sz w:val="24"/>
          <w:szCs w:val="24"/>
        </w:rPr>
        <w:fldChar w:fldCharType="begin"/>
      </w:r>
      <w:r w:rsidR="006100DB" w:rsidRPr="00190574">
        <w:rPr>
          <w:rFonts w:ascii="Times New Roman" w:hAnsi="Times New Roman"/>
          <w:sz w:val="24"/>
          <w:szCs w:val="24"/>
        </w:rPr>
        <w:instrText xml:space="preserve"> SEQ Table \* ARABIC </w:instrText>
      </w:r>
      <w:r w:rsidR="006100DB" w:rsidRPr="00190574">
        <w:rPr>
          <w:rFonts w:ascii="Times New Roman" w:hAnsi="Times New Roman"/>
          <w:sz w:val="24"/>
          <w:szCs w:val="24"/>
        </w:rPr>
        <w:fldChar w:fldCharType="separate"/>
      </w:r>
      <w:r w:rsidR="0021591B" w:rsidRPr="00190574">
        <w:rPr>
          <w:rFonts w:ascii="Times New Roman" w:hAnsi="Times New Roman"/>
          <w:noProof/>
          <w:sz w:val="24"/>
          <w:szCs w:val="24"/>
        </w:rPr>
        <w:t>3</w:t>
      </w:r>
      <w:r w:rsidR="006100DB" w:rsidRPr="00190574">
        <w:rPr>
          <w:rFonts w:ascii="Times New Roman" w:hAnsi="Times New Roman"/>
          <w:sz w:val="24"/>
          <w:szCs w:val="24"/>
        </w:rPr>
        <w:fldChar w:fldCharType="end"/>
      </w:r>
      <w:bookmarkEnd w:id="15"/>
      <w:r w:rsidRPr="00190574">
        <w:rPr>
          <w:rFonts w:ascii="Times New Roman" w:hAnsi="Times New Roman"/>
          <w:sz w:val="24"/>
          <w:szCs w:val="24"/>
        </w:rPr>
        <w:t xml:space="preserve">. </w:t>
      </w:r>
      <w:r w:rsidRPr="00190574">
        <w:rPr>
          <w:rFonts w:ascii="Times New Roman" w:hAnsi="Times New Roman"/>
          <w:b w:val="0"/>
          <w:bCs w:val="0"/>
          <w:sz w:val="24"/>
          <w:szCs w:val="24"/>
        </w:rPr>
        <w:t>Stationary Source Adjustments for Industrial Sector Distillate Fuel Consumption</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3. Stationary Source Adjustments for Industrial Sector Distillate Fuel Consumption"/>
        <w:tblDescription w:val="Sector Distillate Fuel Type % of Total Consumption from Stationary Sources"/>
      </w:tblPr>
      <w:tblGrid>
        <w:gridCol w:w="2663"/>
        <w:gridCol w:w="3335"/>
        <w:gridCol w:w="3352"/>
      </w:tblGrid>
      <w:tr w:rsidR="00190574" w:rsidRPr="00190574" w:rsidTr="006A294F">
        <w:trPr>
          <w:trHeight w:val="647"/>
        </w:trPr>
        <w:tc>
          <w:tcPr>
            <w:tcW w:w="2718" w:type="dxa"/>
            <w:shd w:val="clear" w:color="auto" w:fill="D6291C"/>
            <w:vAlign w:val="center"/>
          </w:tcPr>
          <w:p w:rsidR="00CD2321" w:rsidRPr="00190574" w:rsidRDefault="00CD2321" w:rsidP="00323F60">
            <w:pPr>
              <w:spacing w:line="264" w:lineRule="auto"/>
              <w:ind w:firstLine="0"/>
              <w:rPr>
                <w:rFonts w:ascii="Times New Roman" w:hAnsi="Times New Roman"/>
                <w:b/>
                <w:sz w:val="24"/>
              </w:rPr>
            </w:pPr>
            <w:r w:rsidRPr="00190574">
              <w:rPr>
                <w:rFonts w:ascii="Times New Roman" w:hAnsi="Times New Roman"/>
                <w:b/>
                <w:sz w:val="24"/>
              </w:rPr>
              <w:t>Sector</w:t>
            </w:r>
          </w:p>
        </w:tc>
        <w:tc>
          <w:tcPr>
            <w:tcW w:w="3420" w:type="dxa"/>
            <w:shd w:val="clear" w:color="auto" w:fill="D6291C"/>
            <w:vAlign w:val="center"/>
          </w:tcPr>
          <w:p w:rsidR="00CD2321" w:rsidRPr="00190574" w:rsidRDefault="00CD2321" w:rsidP="00323F60">
            <w:pPr>
              <w:spacing w:line="264" w:lineRule="auto"/>
              <w:ind w:firstLine="0"/>
              <w:rPr>
                <w:rFonts w:ascii="Times New Roman" w:hAnsi="Times New Roman"/>
                <w:b/>
                <w:sz w:val="24"/>
              </w:rPr>
            </w:pPr>
            <w:r w:rsidRPr="00190574">
              <w:rPr>
                <w:rFonts w:ascii="Times New Roman" w:hAnsi="Times New Roman"/>
                <w:b/>
                <w:bCs/>
                <w:sz w:val="24"/>
              </w:rPr>
              <w:t>Distillate Fuel Type</w:t>
            </w:r>
          </w:p>
        </w:tc>
        <w:tc>
          <w:tcPr>
            <w:tcW w:w="3438" w:type="dxa"/>
            <w:shd w:val="clear" w:color="auto" w:fill="D6291C"/>
            <w:vAlign w:val="center"/>
          </w:tcPr>
          <w:p w:rsidR="00CD2321" w:rsidRPr="00190574" w:rsidRDefault="00CD2321" w:rsidP="00323F60">
            <w:pPr>
              <w:spacing w:line="264" w:lineRule="auto"/>
              <w:ind w:firstLine="0"/>
              <w:rPr>
                <w:rFonts w:ascii="Times New Roman" w:hAnsi="Times New Roman"/>
                <w:b/>
                <w:sz w:val="24"/>
              </w:rPr>
            </w:pPr>
            <w:r w:rsidRPr="00190574">
              <w:rPr>
                <w:rFonts w:ascii="Times New Roman" w:hAnsi="Times New Roman"/>
                <w:b/>
                <w:bCs/>
                <w:sz w:val="24"/>
              </w:rPr>
              <w:t>% of Total Consumption from Stationary Sources</w:t>
            </w:r>
          </w:p>
        </w:tc>
      </w:tr>
      <w:tr w:rsidR="00190574" w:rsidRPr="00190574" w:rsidTr="00C073A1">
        <w:trPr>
          <w:trHeight w:val="132"/>
        </w:trPr>
        <w:tc>
          <w:tcPr>
            <w:tcW w:w="2718" w:type="dxa"/>
            <w:vMerge w:val="restart"/>
            <w:vAlign w:val="center"/>
          </w:tcPr>
          <w:p w:rsidR="00CD2321" w:rsidRPr="00190574" w:rsidRDefault="00CD2321" w:rsidP="00323F60">
            <w:pPr>
              <w:pStyle w:val="Default"/>
              <w:rPr>
                <w:color w:val="auto"/>
              </w:rPr>
            </w:pPr>
            <w:r w:rsidRPr="00190574">
              <w:rPr>
                <w:color w:val="auto"/>
              </w:rPr>
              <w:t>Industrial</w:t>
            </w:r>
          </w:p>
        </w:tc>
        <w:tc>
          <w:tcPr>
            <w:tcW w:w="3420" w:type="dxa"/>
            <w:vAlign w:val="center"/>
          </w:tcPr>
          <w:p w:rsidR="00CD2321" w:rsidRPr="00190574" w:rsidRDefault="00CD2321" w:rsidP="00323F60">
            <w:pPr>
              <w:pStyle w:val="Default"/>
              <w:rPr>
                <w:color w:val="auto"/>
              </w:rPr>
            </w:pPr>
            <w:r w:rsidRPr="00190574">
              <w:rPr>
                <w:color w:val="auto"/>
              </w:rPr>
              <w:t>No. 1 Distillate Fuel Oil</w:t>
            </w:r>
          </w:p>
        </w:tc>
        <w:tc>
          <w:tcPr>
            <w:tcW w:w="3438" w:type="dxa"/>
            <w:vAlign w:val="center"/>
          </w:tcPr>
          <w:p w:rsidR="00CD2321" w:rsidRPr="00190574" w:rsidRDefault="00CD2321" w:rsidP="00323F60">
            <w:pPr>
              <w:pStyle w:val="Default"/>
              <w:rPr>
                <w:color w:val="auto"/>
              </w:rPr>
            </w:pPr>
            <w:r w:rsidRPr="00190574">
              <w:rPr>
                <w:color w:val="auto"/>
              </w:rPr>
              <w:t>60</w:t>
            </w:r>
          </w:p>
        </w:tc>
      </w:tr>
      <w:tr w:rsidR="00190574" w:rsidRPr="00190574" w:rsidTr="00C073A1">
        <w:trPr>
          <w:trHeight w:val="129"/>
        </w:trPr>
        <w:tc>
          <w:tcPr>
            <w:tcW w:w="2718" w:type="dxa"/>
            <w:vMerge/>
            <w:vAlign w:val="center"/>
          </w:tcPr>
          <w:p w:rsidR="00CD2321" w:rsidRPr="00190574" w:rsidRDefault="00CD2321" w:rsidP="00323F60">
            <w:pPr>
              <w:pStyle w:val="Default"/>
              <w:rPr>
                <w:color w:val="auto"/>
              </w:rPr>
            </w:pPr>
          </w:p>
        </w:tc>
        <w:tc>
          <w:tcPr>
            <w:tcW w:w="3420" w:type="dxa"/>
            <w:vAlign w:val="center"/>
          </w:tcPr>
          <w:p w:rsidR="00CD2321" w:rsidRPr="00190574" w:rsidRDefault="00CD2321" w:rsidP="00323F60">
            <w:pPr>
              <w:pStyle w:val="Default"/>
              <w:rPr>
                <w:color w:val="auto"/>
              </w:rPr>
            </w:pPr>
            <w:r w:rsidRPr="00190574">
              <w:rPr>
                <w:color w:val="auto"/>
              </w:rPr>
              <w:t>No. 2 Distillate Fuel Oil</w:t>
            </w:r>
          </w:p>
        </w:tc>
        <w:tc>
          <w:tcPr>
            <w:tcW w:w="3438" w:type="dxa"/>
            <w:vAlign w:val="center"/>
          </w:tcPr>
          <w:p w:rsidR="00CD2321" w:rsidRPr="00190574" w:rsidRDefault="00CD2321" w:rsidP="00323F60">
            <w:pPr>
              <w:pStyle w:val="Default"/>
              <w:rPr>
                <w:color w:val="auto"/>
              </w:rPr>
            </w:pPr>
            <w:r w:rsidRPr="00190574">
              <w:rPr>
                <w:color w:val="auto"/>
              </w:rPr>
              <w:t>100</w:t>
            </w:r>
          </w:p>
        </w:tc>
      </w:tr>
      <w:tr w:rsidR="00190574" w:rsidRPr="00190574" w:rsidTr="00C073A1">
        <w:trPr>
          <w:trHeight w:val="129"/>
        </w:trPr>
        <w:tc>
          <w:tcPr>
            <w:tcW w:w="2718" w:type="dxa"/>
            <w:vMerge/>
            <w:vAlign w:val="center"/>
          </w:tcPr>
          <w:p w:rsidR="00CD2321" w:rsidRPr="00190574" w:rsidRDefault="00CD2321" w:rsidP="00323F60">
            <w:pPr>
              <w:pStyle w:val="Default"/>
              <w:rPr>
                <w:color w:val="auto"/>
              </w:rPr>
            </w:pPr>
          </w:p>
        </w:tc>
        <w:tc>
          <w:tcPr>
            <w:tcW w:w="3420" w:type="dxa"/>
            <w:vAlign w:val="center"/>
          </w:tcPr>
          <w:p w:rsidR="00CD2321" w:rsidRPr="00190574" w:rsidRDefault="00CD2321" w:rsidP="00323F60">
            <w:pPr>
              <w:pStyle w:val="Default"/>
              <w:rPr>
                <w:color w:val="auto"/>
              </w:rPr>
            </w:pPr>
            <w:r w:rsidRPr="00190574">
              <w:rPr>
                <w:color w:val="auto"/>
              </w:rPr>
              <w:t>No. 2 Distillate/Low and High Sulfur Diesel</w:t>
            </w:r>
          </w:p>
        </w:tc>
        <w:tc>
          <w:tcPr>
            <w:tcW w:w="3438" w:type="dxa"/>
            <w:vAlign w:val="center"/>
          </w:tcPr>
          <w:p w:rsidR="00CD2321" w:rsidRPr="00190574" w:rsidRDefault="00CD2321" w:rsidP="00323F60">
            <w:pPr>
              <w:pStyle w:val="Default"/>
              <w:rPr>
                <w:color w:val="auto"/>
              </w:rPr>
            </w:pPr>
            <w:r w:rsidRPr="00190574">
              <w:rPr>
                <w:color w:val="auto"/>
              </w:rPr>
              <w:t>15</w:t>
            </w:r>
            <w:r w:rsidRPr="00190574">
              <w:rPr>
                <w:color w:val="auto"/>
                <w:position w:val="8"/>
                <w:vertAlign w:val="superscript"/>
              </w:rPr>
              <w:t>a</w:t>
            </w:r>
          </w:p>
        </w:tc>
      </w:tr>
      <w:tr w:rsidR="00190574" w:rsidRPr="00190574" w:rsidTr="00C073A1">
        <w:trPr>
          <w:trHeight w:val="129"/>
        </w:trPr>
        <w:tc>
          <w:tcPr>
            <w:tcW w:w="2718" w:type="dxa"/>
            <w:vMerge/>
            <w:vAlign w:val="center"/>
          </w:tcPr>
          <w:p w:rsidR="00CD2321" w:rsidRPr="00190574" w:rsidRDefault="00CD2321" w:rsidP="00323F60">
            <w:pPr>
              <w:pStyle w:val="Default"/>
              <w:rPr>
                <w:color w:val="auto"/>
              </w:rPr>
            </w:pPr>
          </w:p>
        </w:tc>
        <w:tc>
          <w:tcPr>
            <w:tcW w:w="3420" w:type="dxa"/>
            <w:vAlign w:val="center"/>
          </w:tcPr>
          <w:p w:rsidR="00CD2321" w:rsidRPr="00190574" w:rsidRDefault="00CD2321" w:rsidP="00323F60">
            <w:pPr>
              <w:pStyle w:val="Default"/>
              <w:rPr>
                <w:color w:val="auto"/>
              </w:rPr>
            </w:pPr>
            <w:r w:rsidRPr="00190574">
              <w:rPr>
                <w:color w:val="auto"/>
              </w:rPr>
              <w:t>No. 4 Distillate Fuel Oil</w:t>
            </w:r>
          </w:p>
        </w:tc>
        <w:tc>
          <w:tcPr>
            <w:tcW w:w="3438" w:type="dxa"/>
            <w:vAlign w:val="center"/>
          </w:tcPr>
          <w:p w:rsidR="00CD2321" w:rsidRPr="00190574" w:rsidRDefault="00CD2321" w:rsidP="00323F60">
            <w:pPr>
              <w:pStyle w:val="Default"/>
              <w:rPr>
                <w:color w:val="auto"/>
              </w:rPr>
            </w:pPr>
            <w:r w:rsidRPr="00190574">
              <w:rPr>
                <w:color w:val="auto"/>
              </w:rPr>
              <w:t>100</w:t>
            </w:r>
          </w:p>
        </w:tc>
      </w:tr>
      <w:tr w:rsidR="00190574" w:rsidRPr="00190574" w:rsidTr="00C073A1">
        <w:trPr>
          <w:trHeight w:val="260"/>
        </w:trPr>
        <w:tc>
          <w:tcPr>
            <w:tcW w:w="2718" w:type="dxa"/>
            <w:vMerge w:val="restart"/>
            <w:vAlign w:val="center"/>
          </w:tcPr>
          <w:p w:rsidR="00CD2321" w:rsidRPr="00190574" w:rsidRDefault="00CD2321" w:rsidP="00323F60">
            <w:pPr>
              <w:pStyle w:val="Default"/>
              <w:rPr>
                <w:color w:val="auto"/>
              </w:rPr>
            </w:pPr>
            <w:r w:rsidRPr="00190574">
              <w:rPr>
                <w:color w:val="auto"/>
              </w:rPr>
              <w:t>Farm</w:t>
            </w:r>
          </w:p>
        </w:tc>
        <w:tc>
          <w:tcPr>
            <w:tcW w:w="3420" w:type="dxa"/>
            <w:vAlign w:val="center"/>
          </w:tcPr>
          <w:p w:rsidR="00CD2321" w:rsidRPr="00190574" w:rsidRDefault="00CD2321" w:rsidP="00323F60">
            <w:pPr>
              <w:pStyle w:val="Default"/>
              <w:rPr>
                <w:color w:val="auto"/>
              </w:rPr>
            </w:pPr>
            <w:r w:rsidRPr="00190574">
              <w:rPr>
                <w:color w:val="auto"/>
              </w:rPr>
              <w:t>Diesel</w:t>
            </w:r>
          </w:p>
        </w:tc>
        <w:tc>
          <w:tcPr>
            <w:tcW w:w="3438" w:type="dxa"/>
            <w:vAlign w:val="center"/>
          </w:tcPr>
          <w:p w:rsidR="00CD2321" w:rsidRPr="00190574" w:rsidRDefault="00CD2321" w:rsidP="00323F60">
            <w:pPr>
              <w:pStyle w:val="Default"/>
              <w:rPr>
                <w:color w:val="auto"/>
              </w:rPr>
            </w:pPr>
            <w:r w:rsidRPr="00190574">
              <w:rPr>
                <w:color w:val="auto"/>
              </w:rPr>
              <w:t>0</w:t>
            </w:r>
          </w:p>
        </w:tc>
      </w:tr>
      <w:tr w:rsidR="00190574" w:rsidRPr="00190574" w:rsidTr="00C073A1">
        <w:trPr>
          <w:trHeight w:val="259"/>
        </w:trPr>
        <w:tc>
          <w:tcPr>
            <w:tcW w:w="2718" w:type="dxa"/>
            <w:vMerge/>
            <w:vAlign w:val="center"/>
          </w:tcPr>
          <w:p w:rsidR="00CD2321" w:rsidRPr="00190574" w:rsidRDefault="00CD2321" w:rsidP="00323F60">
            <w:pPr>
              <w:pStyle w:val="Default"/>
              <w:rPr>
                <w:color w:val="auto"/>
              </w:rPr>
            </w:pPr>
          </w:p>
        </w:tc>
        <w:tc>
          <w:tcPr>
            <w:tcW w:w="3420" w:type="dxa"/>
            <w:vAlign w:val="center"/>
          </w:tcPr>
          <w:p w:rsidR="00CD2321" w:rsidRPr="00190574" w:rsidRDefault="00CD2321" w:rsidP="00323F60">
            <w:pPr>
              <w:pStyle w:val="Default"/>
              <w:rPr>
                <w:color w:val="auto"/>
              </w:rPr>
            </w:pPr>
            <w:r w:rsidRPr="00190574">
              <w:rPr>
                <w:color w:val="auto"/>
              </w:rPr>
              <w:t>Other Distillate Fuel Oil</w:t>
            </w:r>
          </w:p>
        </w:tc>
        <w:tc>
          <w:tcPr>
            <w:tcW w:w="3438" w:type="dxa"/>
            <w:vAlign w:val="center"/>
          </w:tcPr>
          <w:p w:rsidR="00CD2321" w:rsidRPr="00190574" w:rsidRDefault="00CD2321" w:rsidP="00323F60">
            <w:pPr>
              <w:pStyle w:val="Default"/>
              <w:rPr>
                <w:color w:val="auto"/>
              </w:rPr>
            </w:pPr>
            <w:r w:rsidRPr="00190574">
              <w:rPr>
                <w:color w:val="auto"/>
              </w:rPr>
              <w:t>100</w:t>
            </w:r>
          </w:p>
        </w:tc>
      </w:tr>
      <w:tr w:rsidR="00190574" w:rsidRPr="00190574" w:rsidTr="00C073A1">
        <w:tc>
          <w:tcPr>
            <w:tcW w:w="2718" w:type="dxa"/>
            <w:vAlign w:val="center"/>
          </w:tcPr>
          <w:p w:rsidR="00CD2321" w:rsidRPr="00190574" w:rsidRDefault="00CD2321" w:rsidP="00323F60">
            <w:pPr>
              <w:pStyle w:val="Default"/>
              <w:rPr>
                <w:color w:val="auto"/>
              </w:rPr>
            </w:pPr>
            <w:r w:rsidRPr="00190574">
              <w:rPr>
                <w:color w:val="auto"/>
              </w:rPr>
              <w:t>Off-Highway (Construction and Other)</w:t>
            </w:r>
          </w:p>
        </w:tc>
        <w:tc>
          <w:tcPr>
            <w:tcW w:w="3420" w:type="dxa"/>
            <w:vAlign w:val="center"/>
          </w:tcPr>
          <w:p w:rsidR="00CD2321" w:rsidRPr="00190574" w:rsidRDefault="00CD2321" w:rsidP="00323F60">
            <w:pPr>
              <w:pStyle w:val="Default"/>
              <w:rPr>
                <w:color w:val="auto"/>
              </w:rPr>
            </w:pPr>
            <w:r w:rsidRPr="00190574">
              <w:rPr>
                <w:color w:val="auto"/>
              </w:rPr>
              <w:t>Distillate Fuel Oil</w:t>
            </w:r>
          </w:p>
        </w:tc>
        <w:tc>
          <w:tcPr>
            <w:tcW w:w="3438" w:type="dxa"/>
            <w:vAlign w:val="center"/>
          </w:tcPr>
          <w:p w:rsidR="00CD2321" w:rsidRPr="00190574" w:rsidRDefault="00CD2321" w:rsidP="00323F60">
            <w:pPr>
              <w:pStyle w:val="Default"/>
              <w:rPr>
                <w:color w:val="auto"/>
              </w:rPr>
            </w:pPr>
            <w:r w:rsidRPr="00190574">
              <w:rPr>
                <w:color w:val="auto"/>
              </w:rPr>
              <w:t>5</w:t>
            </w:r>
          </w:p>
        </w:tc>
      </w:tr>
      <w:tr w:rsidR="00190574" w:rsidRPr="00190574" w:rsidTr="00C073A1">
        <w:tc>
          <w:tcPr>
            <w:tcW w:w="2718" w:type="dxa"/>
            <w:vAlign w:val="center"/>
          </w:tcPr>
          <w:p w:rsidR="00CD2321" w:rsidRPr="00190574" w:rsidRDefault="00CD2321" w:rsidP="00323F60">
            <w:pPr>
              <w:pStyle w:val="Default"/>
              <w:rPr>
                <w:color w:val="auto"/>
              </w:rPr>
            </w:pPr>
            <w:r w:rsidRPr="00190574">
              <w:rPr>
                <w:color w:val="auto"/>
              </w:rPr>
              <w:t>Oil Company</w:t>
            </w:r>
          </w:p>
        </w:tc>
        <w:tc>
          <w:tcPr>
            <w:tcW w:w="3420" w:type="dxa"/>
            <w:vAlign w:val="center"/>
          </w:tcPr>
          <w:p w:rsidR="00CD2321" w:rsidRPr="00190574" w:rsidRDefault="00CD2321" w:rsidP="00323F60">
            <w:pPr>
              <w:pStyle w:val="Default"/>
              <w:rPr>
                <w:color w:val="auto"/>
              </w:rPr>
            </w:pPr>
            <w:r w:rsidRPr="00190574">
              <w:rPr>
                <w:color w:val="auto"/>
              </w:rPr>
              <w:t>Distillate Fuel Oil</w:t>
            </w:r>
          </w:p>
        </w:tc>
        <w:tc>
          <w:tcPr>
            <w:tcW w:w="3438" w:type="dxa"/>
            <w:vAlign w:val="center"/>
          </w:tcPr>
          <w:p w:rsidR="00CD2321" w:rsidRPr="00190574" w:rsidRDefault="00CD2321" w:rsidP="00323F60">
            <w:pPr>
              <w:pStyle w:val="Default"/>
              <w:rPr>
                <w:color w:val="auto"/>
              </w:rPr>
            </w:pPr>
            <w:r w:rsidRPr="00190574">
              <w:rPr>
                <w:color w:val="auto"/>
              </w:rPr>
              <w:t>50</w:t>
            </w:r>
          </w:p>
        </w:tc>
      </w:tr>
    </w:tbl>
    <w:p w:rsidR="00CD2321" w:rsidRPr="00190574" w:rsidRDefault="00CD2321" w:rsidP="00CD2321">
      <w:pPr>
        <w:spacing w:after="180" w:line="264" w:lineRule="auto"/>
        <w:ind w:firstLine="0"/>
        <w:rPr>
          <w:rFonts w:ascii="Times New Roman" w:hAnsi="Times New Roman"/>
          <w:sz w:val="24"/>
        </w:rPr>
      </w:pPr>
      <w:r w:rsidRPr="00190574">
        <w:rPr>
          <w:rFonts w:ascii="Times New Roman" w:hAnsi="Times New Roman"/>
          <w:position w:val="8"/>
          <w:sz w:val="24"/>
          <w:vertAlign w:val="superscript"/>
        </w:rPr>
        <w:t xml:space="preserve">a </w:t>
      </w:r>
      <w:r w:rsidRPr="00190574">
        <w:rPr>
          <w:rFonts w:ascii="Times New Roman" w:hAnsi="Times New Roman"/>
          <w:sz w:val="24"/>
        </w:rPr>
        <w:t xml:space="preserve">This value differs from the 0% assumption adopted in EPA’s nonroad diesel emissions rulemaking because it is known that some diesel fuel is used by stationary sources (a 15 percent value was selected for use as an approximate mid-point of a potential range of 8 to 24% </w:t>
      </w:r>
      <w:r w:rsidRPr="00190574">
        <w:rPr>
          <w:rFonts w:ascii="Times New Roman" w:hAnsi="Times New Roman"/>
          <w:sz w:val="24"/>
        </w:rPr>
        <w:lastRenderedPageBreak/>
        <w:t xml:space="preserve">stationary source use computed from a review of data from the EIA’s </w:t>
      </w:r>
      <w:r w:rsidRPr="00190574">
        <w:rPr>
          <w:rFonts w:ascii="Times New Roman" w:hAnsi="Times New Roman"/>
          <w:i/>
          <w:iCs/>
          <w:sz w:val="24"/>
        </w:rPr>
        <w:t xml:space="preserve">Manufacturing Energy Consumption Survey </w:t>
      </w:r>
      <w:r w:rsidRPr="00190574">
        <w:rPr>
          <w:rFonts w:ascii="Times New Roman" w:hAnsi="Times New Roman"/>
          <w:sz w:val="24"/>
        </w:rPr>
        <w:t xml:space="preserve">and </w:t>
      </w:r>
      <w:r w:rsidRPr="00190574">
        <w:rPr>
          <w:rFonts w:ascii="Times New Roman" w:hAnsi="Times New Roman"/>
          <w:i/>
          <w:iCs/>
          <w:sz w:val="24"/>
        </w:rPr>
        <w:t>Fuel Oil and Kerosene Sales</w:t>
      </w:r>
      <w:r w:rsidRPr="00190574">
        <w:rPr>
          <w:rFonts w:ascii="Times New Roman" w:hAnsi="Times New Roman"/>
          <w:sz w:val="24"/>
        </w:rPr>
        <w:t>).</w:t>
      </w:r>
    </w:p>
    <w:p w:rsidR="00323F60" w:rsidRPr="00190574" w:rsidRDefault="00323F60" w:rsidP="00101AF0">
      <w:pPr>
        <w:pStyle w:val="Caption"/>
        <w:ind w:firstLine="0"/>
        <w:rPr>
          <w:rFonts w:ascii="Times New Roman" w:hAnsi="Times New Roman"/>
          <w:b w:val="0"/>
          <w:sz w:val="24"/>
          <w:szCs w:val="24"/>
        </w:rPr>
      </w:pPr>
    </w:p>
    <w:p w:rsidR="00101AF0" w:rsidRPr="00190574" w:rsidRDefault="00101AF0" w:rsidP="00101AF0">
      <w:pPr>
        <w:pStyle w:val="Caption"/>
        <w:ind w:firstLine="0"/>
        <w:rPr>
          <w:rFonts w:ascii="Times New Roman" w:hAnsi="Times New Roman"/>
          <w:b w:val="0"/>
          <w:sz w:val="24"/>
          <w:szCs w:val="24"/>
        </w:rPr>
      </w:pPr>
      <w:r w:rsidRPr="00190574">
        <w:rPr>
          <w:rFonts w:ascii="Times New Roman" w:hAnsi="Times New Roman"/>
          <w:b w:val="0"/>
          <w:sz w:val="24"/>
          <w:szCs w:val="24"/>
        </w:rPr>
        <w:fldChar w:fldCharType="begin"/>
      </w:r>
      <w:r w:rsidRPr="00190574">
        <w:rPr>
          <w:rFonts w:ascii="Times New Roman" w:hAnsi="Times New Roman"/>
          <w:b w:val="0"/>
          <w:sz w:val="24"/>
          <w:szCs w:val="24"/>
        </w:rPr>
        <w:instrText xml:space="preserve"> REF _Ref416174960 \h  \* MERGEFORMAT </w:instrText>
      </w:r>
      <w:r w:rsidRPr="00190574">
        <w:rPr>
          <w:rFonts w:ascii="Times New Roman" w:hAnsi="Times New Roman"/>
          <w:b w:val="0"/>
          <w:sz w:val="24"/>
          <w:szCs w:val="24"/>
        </w:rPr>
      </w:r>
      <w:r w:rsidRPr="00190574">
        <w:rPr>
          <w:rFonts w:ascii="Times New Roman" w:hAnsi="Times New Roman"/>
          <w:b w:val="0"/>
          <w:sz w:val="24"/>
          <w:szCs w:val="24"/>
        </w:rPr>
        <w:fldChar w:fldCharType="separate"/>
      </w:r>
      <w:r w:rsidR="0021591B" w:rsidRPr="00190574">
        <w:rPr>
          <w:rFonts w:ascii="Times New Roman" w:hAnsi="Times New Roman"/>
          <w:b w:val="0"/>
          <w:sz w:val="24"/>
          <w:szCs w:val="24"/>
        </w:rPr>
        <w:t xml:space="preserve">Table </w:t>
      </w:r>
      <w:r w:rsidR="0021591B" w:rsidRPr="00190574">
        <w:rPr>
          <w:rFonts w:ascii="Times New Roman" w:hAnsi="Times New Roman"/>
          <w:b w:val="0"/>
          <w:noProof/>
          <w:sz w:val="24"/>
          <w:szCs w:val="24"/>
        </w:rPr>
        <w:t>4</w:t>
      </w:r>
      <w:r w:rsidRPr="00190574">
        <w:rPr>
          <w:rFonts w:ascii="Times New Roman" w:hAnsi="Times New Roman"/>
          <w:b w:val="0"/>
          <w:sz w:val="24"/>
          <w:szCs w:val="24"/>
        </w:rPr>
        <w:fldChar w:fldCharType="end"/>
      </w:r>
      <w:r w:rsidRPr="00190574">
        <w:rPr>
          <w:rFonts w:ascii="Times New Roman" w:hAnsi="Times New Roman"/>
          <w:b w:val="0"/>
          <w:sz w:val="24"/>
          <w:szCs w:val="24"/>
        </w:rPr>
        <w:t xml:space="preserve"> presents the assumptions that are applied to the state-level Commercial sector distillate oil consumption data published in Fuel Oil and Kerosene Sales to estimate Commercial sector stationary source consumption.</w:t>
      </w:r>
    </w:p>
    <w:p w:rsidR="00CD2321" w:rsidRPr="00190574" w:rsidRDefault="00CD2321" w:rsidP="00CD2321">
      <w:pPr>
        <w:pStyle w:val="Caption"/>
        <w:ind w:firstLine="0"/>
        <w:jc w:val="center"/>
        <w:rPr>
          <w:rFonts w:ascii="Times New Roman" w:hAnsi="Times New Roman"/>
          <w:sz w:val="24"/>
          <w:szCs w:val="24"/>
        </w:rPr>
      </w:pPr>
      <w:bookmarkStart w:id="17" w:name="_Ref416174960"/>
      <w:bookmarkStart w:id="18" w:name="_Toc484000181"/>
      <w:r w:rsidRPr="00190574">
        <w:rPr>
          <w:rFonts w:ascii="Times New Roman" w:hAnsi="Times New Roman"/>
          <w:sz w:val="24"/>
          <w:szCs w:val="24"/>
        </w:rPr>
        <w:t xml:space="preserve">Table </w:t>
      </w:r>
      <w:r w:rsidR="006100DB" w:rsidRPr="00190574">
        <w:rPr>
          <w:rFonts w:ascii="Times New Roman" w:hAnsi="Times New Roman"/>
          <w:sz w:val="24"/>
          <w:szCs w:val="24"/>
        </w:rPr>
        <w:fldChar w:fldCharType="begin"/>
      </w:r>
      <w:r w:rsidR="006100DB" w:rsidRPr="00190574">
        <w:rPr>
          <w:rFonts w:ascii="Times New Roman" w:hAnsi="Times New Roman"/>
          <w:sz w:val="24"/>
          <w:szCs w:val="24"/>
        </w:rPr>
        <w:instrText xml:space="preserve"> SEQ Table \* ARABIC </w:instrText>
      </w:r>
      <w:r w:rsidR="006100DB" w:rsidRPr="00190574">
        <w:rPr>
          <w:rFonts w:ascii="Times New Roman" w:hAnsi="Times New Roman"/>
          <w:sz w:val="24"/>
          <w:szCs w:val="24"/>
        </w:rPr>
        <w:fldChar w:fldCharType="separate"/>
      </w:r>
      <w:r w:rsidR="0021591B" w:rsidRPr="00190574">
        <w:rPr>
          <w:rFonts w:ascii="Times New Roman" w:hAnsi="Times New Roman"/>
          <w:noProof/>
          <w:sz w:val="24"/>
          <w:szCs w:val="24"/>
        </w:rPr>
        <w:t>4</w:t>
      </w:r>
      <w:r w:rsidR="006100DB" w:rsidRPr="00190574">
        <w:rPr>
          <w:rFonts w:ascii="Times New Roman" w:hAnsi="Times New Roman"/>
          <w:sz w:val="24"/>
          <w:szCs w:val="24"/>
        </w:rPr>
        <w:fldChar w:fldCharType="end"/>
      </w:r>
      <w:bookmarkEnd w:id="17"/>
      <w:r w:rsidRPr="00190574">
        <w:rPr>
          <w:rFonts w:ascii="Times New Roman" w:hAnsi="Times New Roman"/>
          <w:sz w:val="24"/>
          <w:szCs w:val="24"/>
        </w:rPr>
        <w:t>.</w:t>
      </w:r>
      <w:r w:rsidRPr="00190574">
        <w:rPr>
          <w:sz w:val="24"/>
          <w:szCs w:val="24"/>
        </w:rPr>
        <w:t xml:space="preserve"> </w:t>
      </w:r>
      <w:r w:rsidRPr="00190574">
        <w:rPr>
          <w:rFonts w:ascii="Times New Roman" w:hAnsi="Times New Roman"/>
          <w:b w:val="0"/>
          <w:bCs w:val="0"/>
          <w:sz w:val="24"/>
          <w:szCs w:val="24"/>
        </w:rPr>
        <w:t>Stationary Source Adjustments for Commercial Sector Distillate Fuel Consumption</w:t>
      </w:r>
      <w:bookmarkEnd w:id="18"/>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Table 4. Stationary Source Adjustments for Commercial Sector Distillate Fuel Consumption"/>
        <w:tblDescription w:val="Sector  Distillate Fuel Type  % of Total Consumption from Stationary Sources "/>
      </w:tblPr>
      <w:tblGrid>
        <w:gridCol w:w="2718"/>
        <w:gridCol w:w="3420"/>
        <w:gridCol w:w="3420"/>
      </w:tblGrid>
      <w:tr w:rsidR="00190574" w:rsidRPr="00190574" w:rsidTr="006A294F">
        <w:trPr>
          <w:trHeight w:val="573"/>
          <w:jc w:val="center"/>
        </w:trPr>
        <w:tc>
          <w:tcPr>
            <w:tcW w:w="2718" w:type="dxa"/>
            <w:shd w:val="clear" w:color="auto" w:fill="D6291C"/>
            <w:vAlign w:val="center"/>
          </w:tcPr>
          <w:p w:rsidR="00CD2321" w:rsidRPr="00190574" w:rsidRDefault="00CD2321" w:rsidP="00323F60">
            <w:pPr>
              <w:pStyle w:val="Default"/>
              <w:rPr>
                <w:color w:val="auto"/>
              </w:rPr>
            </w:pPr>
            <w:r w:rsidRPr="00190574">
              <w:rPr>
                <w:b/>
                <w:bCs/>
                <w:color w:val="auto"/>
              </w:rPr>
              <w:t xml:space="preserve">Sector </w:t>
            </w:r>
          </w:p>
        </w:tc>
        <w:tc>
          <w:tcPr>
            <w:tcW w:w="3420" w:type="dxa"/>
            <w:shd w:val="clear" w:color="auto" w:fill="D6291C"/>
            <w:vAlign w:val="center"/>
          </w:tcPr>
          <w:p w:rsidR="00CD2321" w:rsidRPr="00190574" w:rsidRDefault="00CD2321" w:rsidP="00323F60">
            <w:pPr>
              <w:pStyle w:val="Default"/>
              <w:rPr>
                <w:color w:val="auto"/>
              </w:rPr>
            </w:pPr>
            <w:r w:rsidRPr="00190574">
              <w:rPr>
                <w:b/>
                <w:bCs/>
                <w:color w:val="auto"/>
              </w:rPr>
              <w:t xml:space="preserve">Distillate Fuel Type </w:t>
            </w:r>
          </w:p>
        </w:tc>
        <w:tc>
          <w:tcPr>
            <w:tcW w:w="3420" w:type="dxa"/>
            <w:shd w:val="clear" w:color="auto" w:fill="D6291C"/>
            <w:vAlign w:val="center"/>
          </w:tcPr>
          <w:p w:rsidR="00CD2321" w:rsidRPr="00190574" w:rsidRDefault="00CD2321" w:rsidP="00323F60">
            <w:pPr>
              <w:pStyle w:val="Default"/>
              <w:rPr>
                <w:color w:val="auto"/>
              </w:rPr>
            </w:pPr>
            <w:r w:rsidRPr="00190574">
              <w:rPr>
                <w:b/>
                <w:bCs/>
                <w:color w:val="auto"/>
              </w:rPr>
              <w:t xml:space="preserve">% of Total Consumption from Stationary Sources </w:t>
            </w:r>
          </w:p>
        </w:tc>
      </w:tr>
      <w:tr w:rsidR="00190574" w:rsidRPr="00190574" w:rsidTr="00323F60">
        <w:trPr>
          <w:trHeight w:val="157"/>
          <w:jc w:val="center"/>
        </w:trPr>
        <w:tc>
          <w:tcPr>
            <w:tcW w:w="2718" w:type="dxa"/>
            <w:vMerge w:val="restart"/>
            <w:vAlign w:val="center"/>
          </w:tcPr>
          <w:p w:rsidR="00CD2321" w:rsidRPr="00190574" w:rsidRDefault="00CD2321" w:rsidP="00323F60">
            <w:pPr>
              <w:pStyle w:val="Default"/>
              <w:rPr>
                <w:color w:val="auto"/>
              </w:rPr>
            </w:pPr>
            <w:r w:rsidRPr="00190574">
              <w:rPr>
                <w:color w:val="auto"/>
              </w:rPr>
              <w:t>Commercial</w:t>
            </w:r>
          </w:p>
        </w:tc>
        <w:tc>
          <w:tcPr>
            <w:tcW w:w="3420" w:type="dxa"/>
          </w:tcPr>
          <w:p w:rsidR="00CD2321" w:rsidRPr="00190574" w:rsidRDefault="00CD2321" w:rsidP="004416B6">
            <w:pPr>
              <w:pStyle w:val="Default"/>
              <w:rPr>
                <w:color w:val="auto"/>
              </w:rPr>
            </w:pPr>
            <w:r w:rsidRPr="00190574">
              <w:rPr>
                <w:color w:val="auto"/>
              </w:rPr>
              <w:t xml:space="preserve">No. 1 Distillate Fuel Oil </w:t>
            </w:r>
          </w:p>
        </w:tc>
        <w:tc>
          <w:tcPr>
            <w:tcW w:w="3420" w:type="dxa"/>
            <w:vAlign w:val="center"/>
          </w:tcPr>
          <w:p w:rsidR="00CD2321" w:rsidRPr="00190574" w:rsidRDefault="00CD2321" w:rsidP="00323F60">
            <w:pPr>
              <w:pStyle w:val="Default"/>
              <w:jc w:val="center"/>
              <w:rPr>
                <w:color w:val="auto"/>
              </w:rPr>
            </w:pPr>
            <w:r w:rsidRPr="00190574">
              <w:rPr>
                <w:color w:val="auto"/>
              </w:rPr>
              <w:t>80</w:t>
            </w:r>
          </w:p>
        </w:tc>
      </w:tr>
      <w:tr w:rsidR="00190574" w:rsidRPr="00190574" w:rsidTr="00323F60">
        <w:trPr>
          <w:trHeight w:val="157"/>
          <w:jc w:val="center"/>
        </w:trPr>
        <w:tc>
          <w:tcPr>
            <w:tcW w:w="2718" w:type="dxa"/>
            <w:vMerge/>
          </w:tcPr>
          <w:p w:rsidR="00CD2321" w:rsidRPr="00190574" w:rsidRDefault="00CD2321" w:rsidP="004416B6">
            <w:pPr>
              <w:pStyle w:val="Default"/>
              <w:rPr>
                <w:color w:val="auto"/>
              </w:rPr>
            </w:pPr>
          </w:p>
        </w:tc>
        <w:tc>
          <w:tcPr>
            <w:tcW w:w="3420" w:type="dxa"/>
          </w:tcPr>
          <w:p w:rsidR="00CD2321" w:rsidRPr="00190574" w:rsidRDefault="00CD2321" w:rsidP="004416B6">
            <w:pPr>
              <w:pStyle w:val="Default"/>
              <w:rPr>
                <w:color w:val="auto"/>
              </w:rPr>
            </w:pPr>
            <w:r w:rsidRPr="00190574">
              <w:rPr>
                <w:color w:val="auto"/>
              </w:rPr>
              <w:t xml:space="preserve">No. 2 Distillate Fuel Oil </w:t>
            </w:r>
          </w:p>
        </w:tc>
        <w:tc>
          <w:tcPr>
            <w:tcW w:w="3420" w:type="dxa"/>
            <w:vAlign w:val="center"/>
          </w:tcPr>
          <w:p w:rsidR="00CD2321" w:rsidRPr="00190574" w:rsidRDefault="00CD2321" w:rsidP="00323F60">
            <w:pPr>
              <w:pStyle w:val="Default"/>
              <w:jc w:val="center"/>
              <w:rPr>
                <w:color w:val="auto"/>
              </w:rPr>
            </w:pPr>
            <w:r w:rsidRPr="00190574">
              <w:rPr>
                <w:color w:val="auto"/>
              </w:rPr>
              <w:t>100</w:t>
            </w:r>
          </w:p>
        </w:tc>
      </w:tr>
      <w:tr w:rsidR="00190574" w:rsidRPr="00190574" w:rsidTr="00323F60">
        <w:trPr>
          <w:trHeight w:val="157"/>
          <w:jc w:val="center"/>
        </w:trPr>
        <w:tc>
          <w:tcPr>
            <w:tcW w:w="2718" w:type="dxa"/>
            <w:vMerge/>
          </w:tcPr>
          <w:p w:rsidR="00CD2321" w:rsidRPr="00190574" w:rsidRDefault="00CD2321" w:rsidP="004416B6">
            <w:pPr>
              <w:pStyle w:val="Default"/>
              <w:rPr>
                <w:color w:val="auto"/>
              </w:rPr>
            </w:pPr>
          </w:p>
        </w:tc>
        <w:tc>
          <w:tcPr>
            <w:tcW w:w="3420" w:type="dxa"/>
          </w:tcPr>
          <w:p w:rsidR="00CD2321" w:rsidRPr="00190574" w:rsidRDefault="00CD2321" w:rsidP="004416B6">
            <w:pPr>
              <w:pStyle w:val="Default"/>
              <w:rPr>
                <w:color w:val="auto"/>
              </w:rPr>
            </w:pPr>
            <w:r w:rsidRPr="00190574">
              <w:rPr>
                <w:color w:val="auto"/>
              </w:rPr>
              <w:t xml:space="preserve">No. 2 Distillate/Ultra-Low, Low, and High Sulfur Diesel </w:t>
            </w:r>
          </w:p>
        </w:tc>
        <w:tc>
          <w:tcPr>
            <w:tcW w:w="3420" w:type="dxa"/>
            <w:vAlign w:val="center"/>
          </w:tcPr>
          <w:p w:rsidR="00CD2321" w:rsidRPr="00190574" w:rsidRDefault="00CD2321" w:rsidP="00323F60">
            <w:pPr>
              <w:pStyle w:val="Default"/>
              <w:jc w:val="center"/>
              <w:rPr>
                <w:color w:val="auto"/>
              </w:rPr>
            </w:pPr>
            <w:r w:rsidRPr="00190574">
              <w:rPr>
                <w:color w:val="auto"/>
              </w:rPr>
              <w:t>0</w:t>
            </w:r>
            <w:r w:rsidRPr="00190574">
              <w:rPr>
                <w:color w:val="auto"/>
                <w:position w:val="8"/>
                <w:vertAlign w:val="superscript"/>
              </w:rPr>
              <w:t>a</w:t>
            </w:r>
          </w:p>
        </w:tc>
      </w:tr>
      <w:tr w:rsidR="00190574" w:rsidRPr="00190574" w:rsidTr="00323F60">
        <w:trPr>
          <w:trHeight w:val="157"/>
          <w:jc w:val="center"/>
        </w:trPr>
        <w:tc>
          <w:tcPr>
            <w:tcW w:w="2718" w:type="dxa"/>
            <w:vMerge/>
          </w:tcPr>
          <w:p w:rsidR="00CD2321" w:rsidRPr="00190574" w:rsidRDefault="00CD2321" w:rsidP="004416B6">
            <w:pPr>
              <w:pStyle w:val="Default"/>
              <w:rPr>
                <w:color w:val="auto"/>
              </w:rPr>
            </w:pPr>
          </w:p>
        </w:tc>
        <w:tc>
          <w:tcPr>
            <w:tcW w:w="3420" w:type="dxa"/>
          </w:tcPr>
          <w:p w:rsidR="00CD2321" w:rsidRPr="00190574" w:rsidRDefault="00CD2321" w:rsidP="004416B6">
            <w:pPr>
              <w:pStyle w:val="Default"/>
              <w:rPr>
                <w:color w:val="auto"/>
              </w:rPr>
            </w:pPr>
            <w:r w:rsidRPr="00190574">
              <w:rPr>
                <w:color w:val="auto"/>
              </w:rPr>
              <w:t xml:space="preserve">No. 4 Distillate Fuel Oil </w:t>
            </w:r>
          </w:p>
        </w:tc>
        <w:tc>
          <w:tcPr>
            <w:tcW w:w="3420" w:type="dxa"/>
            <w:vAlign w:val="center"/>
          </w:tcPr>
          <w:p w:rsidR="00CD2321" w:rsidRPr="00190574" w:rsidRDefault="00CD2321" w:rsidP="00323F60">
            <w:pPr>
              <w:pStyle w:val="Default"/>
              <w:jc w:val="center"/>
              <w:rPr>
                <w:color w:val="auto"/>
              </w:rPr>
            </w:pPr>
            <w:r w:rsidRPr="00190574">
              <w:rPr>
                <w:color w:val="auto"/>
              </w:rPr>
              <w:t>100</w:t>
            </w:r>
          </w:p>
        </w:tc>
      </w:tr>
    </w:tbl>
    <w:p w:rsidR="00CD2321" w:rsidRPr="00190574" w:rsidRDefault="00CD2321" w:rsidP="00A17563">
      <w:pPr>
        <w:spacing w:after="180" w:line="264" w:lineRule="auto"/>
        <w:ind w:firstLine="0"/>
        <w:rPr>
          <w:rFonts w:ascii="Times New Roman" w:hAnsi="Times New Roman"/>
          <w:sz w:val="24"/>
        </w:rPr>
      </w:pPr>
      <w:r w:rsidRPr="00190574">
        <w:rPr>
          <w:rFonts w:ascii="Times New Roman" w:hAnsi="Times New Roman"/>
          <w:position w:val="8"/>
          <w:sz w:val="24"/>
          <w:vertAlign w:val="superscript"/>
        </w:rPr>
        <w:t xml:space="preserve">a </w:t>
      </w:r>
      <w:r w:rsidRPr="00190574">
        <w:rPr>
          <w:rFonts w:ascii="Times New Roman" w:hAnsi="Times New Roman"/>
          <w:sz w:val="24"/>
        </w:rPr>
        <w:t>A very small portion of total commercial/institutional diesel is consumed by point sources (SCC 203001xx).</w:t>
      </w:r>
    </w:p>
    <w:p w:rsidR="00101AF0" w:rsidRPr="00190574" w:rsidRDefault="00101AF0" w:rsidP="00101AF0">
      <w:pPr>
        <w:spacing w:after="180" w:line="264" w:lineRule="auto"/>
        <w:ind w:firstLine="0"/>
        <w:rPr>
          <w:rFonts w:ascii="Times New Roman" w:hAnsi="Times New Roman"/>
          <w:sz w:val="24"/>
        </w:rPr>
      </w:pPr>
      <w:r w:rsidRPr="00190574">
        <w:rPr>
          <w:rFonts w:ascii="Times New Roman" w:hAnsi="Times New Roman"/>
          <w:sz w:val="24"/>
        </w:rPr>
        <w:t>In order to avoid double-counting of LPG consumption, the ICI Tool uses data from the EPA National Mobile Inventory Model (NMIM) for 2006 to calculate the national volume of nonroad LPG consumption from agriculture, logging, mining, and construction source categories. This estimate is then divided into the SEDS total LPG consumption estimate to yield the proportion of total ICI LPG consumption attributable to the nonroad sector in that year (8.72% for industrial sources and 17.72% for commercial/institutional sources). It is assumed that these proportions are appropriate for future inventory years. This estimate of the nonroad portion of LPG consumption is subtracted from each state’s ICI LPG consumption estimate reported in SEDS.</w:t>
      </w:r>
    </w:p>
    <w:p w:rsidR="00C073A1" w:rsidRPr="00190574" w:rsidRDefault="006A294F" w:rsidP="00101AF0">
      <w:pPr>
        <w:spacing w:after="180" w:line="264" w:lineRule="auto"/>
        <w:ind w:firstLine="0"/>
        <w:rPr>
          <w:rFonts w:ascii="Times New Roman" w:hAnsi="Times New Roman"/>
          <w:sz w:val="24"/>
        </w:rPr>
      </w:pPr>
      <w:r w:rsidRPr="00190574">
        <w:rPr>
          <w:rFonts w:ascii="Times New Roman" w:hAnsi="Times New Roman"/>
          <w:sz w:val="24"/>
        </w:rPr>
        <w:t>Distillate oil is reported by EIA as the total consumption of distillate. Therefore, assumptions must be made to determine the amount of distillate consumed by boilers and internal combustion engines (</w:t>
      </w:r>
      <w:r w:rsidRPr="00190574">
        <w:rPr>
          <w:rFonts w:ascii="Times New Roman" w:hAnsi="Times New Roman"/>
          <w:sz w:val="24"/>
        </w:rPr>
        <w:fldChar w:fldCharType="begin"/>
      </w:r>
      <w:r w:rsidRPr="00190574">
        <w:rPr>
          <w:rFonts w:ascii="Times New Roman" w:hAnsi="Times New Roman"/>
          <w:sz w:val="24"/>
        </w:rPr>
        <w:instrText xml:space="preserve"> REF _Ref483997119 \h </w:instrText>
      </w:r>
      <w:r w:rsidRPr="00190574">
        <w:rPr>
          <w:rFonts w:ascii="Times New Roman" w:hAnsi="Times New Roman"/>
          <w:sz w:val="24"/>
        </w:rPr>
      </w:r>
      <w:r w:rsidR="00190574" w:rsidRPr="00190574">
        <w:rPr>
          <w:rFonts w:ascii="Times New Roman" w:hAnsi="Times New Roman"/>
          <w:sz w:val="24"/>
        </w:rPr>
        <w:instrText xml:space="preserve"> \* MERGEFORMAT </w:instrText>
      </w:r>
      <w:r w:rsidRPr="00190574">
        <w:rPr>
          <w:rFonts w:ascii="Times New Roman" w:hAnsi="Times New Roman"/>
          <w:sz w:val="24"/>
        </w:rPr>
        <w:fldChar w:fldCharType="separate"/>
      </w:r>
      <w:r w:rsidR="0021591B" w:rsidRPr="00190574">
        <w:rPr>
          <w:rFonts w:ascii="Times New Roman" w:hAnsi="Times New Roman"/>
          <w:sz w:val="24"/>
        </w:rPr>
        <w:t xml:space="preserve">Table </w:t>
      </w:r>
      <w:r w:rsidR="0021591B" w:rsidRPr="00190574">
        <w:rPr>
          <w:rFonts w:ascii="Times New Roman" w:hAnsi="Times New Roman"/>
          <w:noProof/>
          <w:sz w:val="24"/>
        </w:rPr>
        <w:t>5</w:t>
      </w:r>
      <w:r w:rsidRPr="00190574">
        <w:rPr>
          <w:rFonts w:ascii="Times New Roman" w:hAnsi="Times New Roman"/>
          <w:sz w:val="24"/>
        </w:rPr>
        <w:fldChar w:fldCharType="end"/>
      </w:r>
      <w:r w:rsidRPr="00190574">
        <w:rPr>
          <w:rFonts w:ascii="Times New Roman" w:hAnsi="Times New Roman"/>
          <w:sz w:val="24"/>
        </w:rPr>
        <w:t>). The default assumptions were calculated using data from the EIA, but S/L/T agencies are encouraged to update the default assumptions with better state-level data, if available.</w:t>
      </w:r>
    </w:p>
    <w:p w:rsidR="00134412" w:rsidRPr="00190574" w:rsidRDefault="006A294F" w:rsidP="00101AF0">
      <w:pPr>
        <w:spacing w:after="180" w:line="264" w:lineRule="auto"/>
        <w:ind w:firstLine="0"/>
        <w:rPr>
          <w:rFonts w:ascii="Times New Roman" w:hAnsi="Times New Roman"/>
          <w:sz w:val="24"/>
        </w:rPr>
      </w:pPr>
      <w:r w:rsidRPr="00190574">
        <w:rPr>
          <w:rFonts w:ascii="Times New Roman" w:hAnsi="Times New Roman"/>
          <w:sz w:val="24"/>
        </w:rPr>
        <w:t xml:space="preserve">The default boiler/engine split assumptions for industrial distillate consumption were calculated using data from EIA’s </w:t>
      </w:r>
      <w:r w:rsidRPr="00190574">
        <w:rPr>
          <w:rFonts w:ascii="Times New Roman" w:hAnsi="Times New Roman"/>
          <w:i/>
          <w:iCs/>
          <w:sz w:val="24"/>
        </w:rPr>
        <w:t>2010 Manufacturing Energy Consumption Survey (MECS)</w:t>
      </w:r>
      <w:r w:rsidRPr="00190574">
        <w:rPr>
          <w:rFonts w:ascii="Times New Roman" w:hAnsi="Times New Roman"/>
          <w:iCs/>
          <w:sz w:val="24"/>
        </w:rPr>
        <w:t>, Table 5.5</w:t>
      </w:r>
      <w:r w:rsidRPr="00190574">
        <w:rPr>
          <w:rFonts w:ascii="Times New Roman" w:hAnsi="Times New Roman"/>
          <w:i/>
          <w:iCs/>
          <w:sz w:val="24"/>
        </w:rPr>
        <w:t xml:space="preserve"> </w:t>
      </w:r>
      <w:r w:rsidRPr="00190574">
        <w:rPr>
          <w:rFonts w:ascii="Times New Roman" w:hAnsi="Times New Roman"/>
          <w:sz w:val="24"/>
        </w:rPr>
        <w:t>(EIA, 20</w:t>
      </w:r>
      <w:r w:rsidR="00134412" w:rsidRPr="00190574">
        <w:rPr>
          <w:rFonts w:ascii="Times New Roman" w:hAnsi="Times New Roman"/>
          <w:sz w:val="24"/>
        </w:rPr>
        <w:t>13b), which provides data on distillate consumption by end use for the industrial sector</w:t>
      </w:r>
      <w:r w:rsidRPr="00190574">
        <w:rPr>
          <w:rFonts w:ascii="Times New Roman" w:hAnsi="Times New Roman"/>
          <w:sz w:val="24"/>
        </w:rPr>
        <w:t xml:space="preserve">. The boiler/engine split was calculated at the national level, because data was withheld for too many end uses </w:t>
      </w:r>
      <w:r w:rsidR="00134412" w:rsidRPr="00190574">
        <w:rPr>
          <w:rFonts w:ascii="Times New Roman" w:hAnsi="Times New Roman"/>
          <w:sz w:val="24"/>
        </w:rPr>
        <w:t xml:space="preserve">at the regional level. The following end uses from MECS are assumed to be associated with engines: electricity generation (which assumes the electricity is generated using internal combustion engine generators) and </w:t>
      </w:r>
      <w:r w:rsidR="00951E15" w:rsidRPr="00190574">
        <w:rPr>
          <w:rFonts w:ascii="Times New Roman" w:hAnsi="Times New Roman"/>
          <w:sz w:val="24"/>
        </w:rPr>
        <w:t>machine drive (which includes</w:t>
      </w:r>
      <w:r w:rsidR="00134412" w:rsidRPr="00190574">
        <w:rPr>
          <w:rFonts w:ascii="Times New Roman" w:hAnsi="Times New Roman"/>
          <w:sz w:val="24"/>
        </w:rPr>
        <w:t xml:space="preserve"> use by motors, pumps, etc.). All other end uses are assumed to be associated with boilers. The total national-level distillate consumption for engine-based and boiler-based end uses is 6 million barrels and 9 </w:t>
      </w:r>
      <w:r w:rsidR="00134412" w:rsidRPr="00190574">
        <w:rPr>
          <w:rFonts w:ascii="Times New Roman" w:hAnsi="Times New Roman"/>
          <w:sz w:val="24"/>
        </w:rPr>
        <w:lastRenderedPageBreak/>
        <w:t>million barrels, respectively. Therefore, we assume that the boiler/engine split for industrial distillate is 60% boilers and 40% engines.</w:t>
      </w:r>
    </w:p>
    <w:p w:rsidR="006A294F" w:rsidRPr="00190574" w:rsidRDefault="00134412" w:rsidP="00101AF0">
      <w:pPr>
        <w:spacing w:after="180" w:line="264" w:lineRule="auto"/>
        <w:ind w:firstLine="0"/>
        <w:rPr>
          <w:rFonts w:ascii="Times New Roman" w:hAnsi="Times New Roman"/>
          <w:sz w:val="24"/>
        </w:rPr>
      </w:pPr>
      <w:r w:rsidRPr="00190574">
        <w:rPr>
          <w:rFonts w:ascii="Times New Roman" w:hAnsi="Times New Roman"/>
          <w:sz w:val="24"/>
        </w:rPr>
        <w:t xml:space="preserve">The default </w:t>
      </w:r>
      <w:r w:rsidR="00373988" w:rsidRPr="00190574">
        <w:rPr>
          <w:rFonts w:ascii="Times New Roman" w:hAnsi="Times New Roman"/>
          <w:sz w:val="24"/>
        </w:rPr>
        <w:t xml:space="preserve">boiler/engine split assumptions for commercial distillate consumption were calculated using data from EIA’s </w:t>
      </w:r>
      <w:r w:rsidR="00373988" w:rsidRPr="00190574">
        <w:rPr>
          <w:rFonts w:ascii="Times New Roman" w:hAnsi="Times New Roman"/>
          <w:i/>
          <w:sz w:val="24"/>
        </w:rPr>
        <w:t>Commercial Building Energy Consumption Survey (CBECS)</w:t>
      </w:r>
      <w:r w:rsidR="00373988" w:rsidRPr="00190574">
        <w:rPr>
          <w:rFonts w:ascii="Times New Roman" w:hAnsi="Times New Roman"/>
          <w:sz w:val="24"/>
        </w:rPr>
        <w:t xml:space="preserve">, Table E9 (EIA, 2013c), which provides data on distillate consumption by end use for the commercial sector. It is assumed that space heating and water heating are associated with boilers (211 trillion Btu) and “other” is associated with engines (10 trillion Btu). The result is a default boiler/engine split for commercial distillate of 95% boilers and 5% engines. Note that this approach may overestimate the number of engines in the commercial sector, since the “other” end use category </w:t>
      </w:r>
      <w:r w:rsidR="00951E15" w:rsidRPr="00190574">
        <w:rPr>
          <w:rFonts w:ascii="Times New Roman" w:hAnsi="Times New Roman"/>
          <w:sz w:val="24"/>
        </w:rPr>
        <w:t>could also include boilers. Nevertheless, the data show that the vast majority of distillate consumption in the commercial sector is for space and water heating.</w:t>
      </w:r>
      <w:r w:rsidR="00373988" w:rsidRPr="00190574">
        <w:rPr>
          <w:rFonts w:ascii="Times New Roman" w:hAnsi="Times New Roman"/>
          <w:sz w:val="24"/>
        </w:rPr>
        <w:t xml:space="preserve"> </w:t>
      </w:r>
    </w:p>
    <w:p w:rsidR="006A294F" w:rsidRPr="00190574" w:rsidRDefault="006A294F" w:rsidP="006A294F">
      <w:pPr>
        <w:pStyle w:val="Caption"/>
        <w:keepNext/>
        <w:jc w:val="center"/>
        <w:rPr>
          <w:rFonts w:ascii="Times New Roman" w:hAnsi="Times New Roman"/>
          <w:b w:val="0"/>
          <w:sz w:val="24"/>
          <w:szCs w:val="24"/>
        </w:rPr>
      </w:pPr>
      <w:bookmarkStart w:id="19" w:name="_Ref483997119"/>
      <w:bookmarkStart w:id="20" w:name="_Toc484000182"/>
      <w:r w:rsidRPr="00190574">
        <w:rPr>
          <w:rFonts w:ascii="Times New Roman" w:hAnsi="Times New Roman"/>
          <w:sz w:val="24"/>
          <w:szCs w:val="24"/>
        </w:rPr>
        <w:t xml:space="preserve">Table </w:t>
      </w:r>
      <w:r w:rsidRPr="00190574">
        <w:rPr>
          <w:rFonts w:ascii="Times New Roman" w:hAnsi="Times New Roman"/>
          <w:sz w:val="24"/>
          <w:szCs w:val="24"/>
        </w:rPr>
        <w:fldChar w:fldCharType="begin"/>
      </w:r>
      <w:r w:rsidRPr="00190574">
        <w:rPr>
          <w:rFonts w:ascii="Times New Roman" w:hAnsi="Times New Roman"/>
          <w:sz w:val="24"/>
          <w:szCs w:val="24"/>
        </w:rPr>
        <w:instrText xml:space="preserve"> SEQ Table \* ARABIC </w:instrText>
      </w:r>
      <w:r w:rsidRPr="00190574">
        <w:rPr>
          <w:rFonts w:ascii="Times New Roman" w:hAnsi="Times New Roman"/>
          <w:sz w:val="24"/>
          <w:szCs w:val="24"/>
        </w:rPr>
        <w:fldChar w:fldCharType="separate"/>
      </w:r>
      <w:r w:rsidR="0021591B" w:rsidRPr="00190574">
        <w:rPr>
          <w:rFonts w:ascii="Times New Roman" w:hAnsi="Times New Roman"/>
          <w:noProof/>
          <w:sz w:val="24"/>
          <w:szCs w:val="24"/>
        </w:rPr>
        <w:t>5</w:t>
      </w:r>
      <w:r w:rsidRPr="00190574">
        <w:rPr>
          <w:rFonts w:ascii="Times New Roman" w:hAnsi="Times New Roman"/>
          <w:sz w:val="24"/>
          <w:szCs w:val="24"/>
        </w:rPr>
        <w:fldChar w:fldCharType="end"/>
      </w:r>
      <w:bookmarkEnd w:id="19"/>
      <w:r w:rsidRPr="00190574">
        <w:rPr>
          <w:rFonts w:ascii="Times New Roman" w:hAnsi="Times New Roman"/>
          <w:sz w:val="24"/>
          <w:szCs w:val="24"/>
        </w:rPr>
        <w:t xml:space="preserve">. </w:t>
      </w:r>
      <w:r w:rsidRPr="00190574">
        <w:rPr>
          <w:rFonts w:ascii="Times New Roman" w:hAnsi="Times New Roman"/>
          <w:b w:val="0"/>
          <w:sz w:val="24"/>
          <w:szCs w:val="24"/>
        </w:rPr>
        <w:t>Default assumptions for distillate boiler/engine split</w:t>
      </w:r>
      <w:bookmarkEnd w:id="20"/>
    </w:p>
    <w:tbl>
      <w:tblPr>
        <w:tblW w:w="0" w:type="auto"/>
        <w:jc w:val="center"/>
        <w:tblCellMar>
          <w:left w:w="0" w:type="dxa"/>
          <w:right w:w="0" w:type="dxa"/>
        </w:tblCellMar>
        <w:tblLook w:val="04A0" w:firstRow="1" w:lastRow="0" w:firstColumn="1" w:lastColumn="0" w:noHBand="0" w:noVBand="1"/>
        <w:tblCaption w:val="Table 5. Default assumptions for distillate boiler/engine split"/>
        <w:tblDescription w:val=" Industrial Commercial&#10;Boiler 60% 95%&#10;Engine 40% 5%&#10;"/>
      </w:tblPr>
      <w:tblGrid>
        <w:gridCol w:w="1872"/>
        <w:gridCol w:w="1872"/>
        <w:gridCol w:w="1872"/>
      </w:tblGrid>
      <w:tr w:rsidR="00190574" w:rsidRPr="00190574" w:rsidTr="006A294F">
        <w:trPr>
          <w:jc w:val="center"/>
        </w:trPr>
        <w:tc>
          <w:tcPr>
            <w:tcW w:w="1872" w:type="dxa"/>
            <w:tcBorders>
              <w:top w:val="single" w:sz="8" w:space="0" w:color="auto"/>
              <w:left w:val="single" w:sz="8" w:space="0" w:color="auto"/>
              <w:bottom w:val="single" w:sz="8" w:space="0" w:color="auto"/>
              <w:right w:val="single" w:sz="8" w:space="0" w:color="auto"/>
            </w:tcBorders>
            <w:shd w:val="clear" w:color="auto" w:fill="D6291C"/>
            <w:tcMar>
              <w:top w:w="0" w:type="dxa"/>
              <w:left w:w="108" w:type="dxa"/>
              <w:bottom w:w="0" w:type="dxa"/>
              <w:right w:w="108" w:type="dxa"/>
            </w:tcMar>
          </w:tcPr>
          <w:p w:rsidR="006A294F" w:rsidRPr="00190574" w:rsidRDefault="006A294F">
            <w:pPr>
              <w:rPr>
                <w:rFonts w:ascii="Times New Roman" w:eastAsiaTheme="minorHAnsi" w:hAnsi="Times New Roman"/>
                <w:b/>
                <w:sz w:val="24"/>
              </w:rPr>
            </w:pPr>
          </w:p>
        </w:tc>
        <w:tc>
          <w:tcPr>
            <w:tcW w:w="1872" w:type="dxa"/>
            <w:tcBorders>
              <w:top w:val="single" w:sz="8" w:space="0" w:color="auto"/>
              <w:left w:val="nil"/>
              <w:bottom w:val="single" w:sz="8" w:space="0" w:color="auto"/>
              <w:right w:val="single" w:sz="8" w:space="0" w:color="auto"/>
            </w:tcBorders>
            <w:shd w:val="clear" w:color="auto" w:fill="D6291C"/>
            <w:tcMar>
              <w:top w:w="0" w:type="dxa"/>
              <w:left w:w="108" w:type="dxa"/>
              <w:bottom w:w="0" w:type="dxa"/>
              <w:right w:w="108" w:type="dxa"/>
            </w:tcMar>
            <w:hideMark/>
          </w:tcPr>
          <w:p w:rsidR="006A294F" w:rsidRPr="00190574" w:rsidRDefault="006A294F">
            <w:pPr>
              <w:rPr>
                <w:rFonts w:ascii="Times New Roman" w:eastAsiaTheme="minorHAnsi" w:hAnsi="Times New Roman"/>
                <w:b/>
                <w:sz w:val="24"/>
              </w:rPr>
            </w:pPr>
            <w:r w:rsidRPr="00190574">
              <w:rPr>
                <w:rFonts w:ascii="Times New Roman" w:hAnsi="Times New Roman"/>
                <w:b/>
                <w:sz w:val="24"/>
              </w:rPr>
              <w:t>Industrial</w:t>
            </w:r>
          </w:p>
        </w:tc>
        <w:tc>
          <w:tcPr>
            <w:tcW w:w="1872" w:type="dxa"/>
            <w:tcBorders>
              <w:top w:val="single" w:sz="8" w:space="0" w:color="auto"/>
              <w:left w:val="nil"/>
              <w:bottom w:val="single" w:sz="8" w:space="0" w:color="auto"/>
              <w:right w:val="single" w:sz="8" w:space="0" w:color="auto"/>
            </w:tcBorders>
            <w:shd w:val="clear" w:color="auto" w:fill="D6291C"/>
            <w:tcMar>
              <w:top w:w="0" w:type="dxa"/>
              <w:left w:w="108" w:type="dxa"/>
              <w:bottom w:w="0" w:type="dxa"/>
              <w:right w:w="108" w:type="dxa"/>
            </w:tcMar>
            <w:hideMark/>
          </w:tcPr>
          <w:p w:rsidR="006A294F" w:rsidRPr="00190574" w:rsidRDefault="006A294F">
            <w:pPr>
              <w:rPr>
                <w:rFonts w:ascii="Times New Roman" w:eastAsiaTheme="minorHAnsi" w:hAnsi="Times New Roman"/>
                <w:b/>
                <w:sz w:val="24"/>
              </w:rPr>
            </w:pPr>
            <w:r w:rsidRPr="00190574">
              <w:rPr>
                <w:rFonts w:ascii="Times New Roman" w:hAnsi="Times New Roman"/>
                <w:b/>
                <w:sz w:val="24"/>
              </w:rPr>
              <w:t>Commercial</w:t>
            </w:r>
          </w:p>
        </w:tc>
      </w:tr>
      <w:tr w:rsidR="00190574" w:rsidRPr="00190574" w:rsidTr="006A294F">
        <w:trPr>
          <w:jc w:val="center"/>
        </w:trPr>
        <w:tc>
          <w:tcPr>
            <w:tcW w:w="18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294F" w:rsidRPr="00190574" w:rsidRDefault="006A294F">
            <w:pPr>
              <w:rPr>
                <w:rFonts w:ascii="Times New Roman" w:eastAsiaTheme="minorHAnsi" w:hAnsi="Times New Roman"/>
                <w:sz w:val="24"/>
              </w:rPr>
            </w:pPr>
            <w:r w:rsidRPr="00190574">
              <w:rPr>
                <w:rFonts w:ascii="Times New Roman" w:hAnsi="Times New Roman"/>
                <w:sz w:val="24"/>
              </w:rPr>
              <w:t>Boiler</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rsidR="006A294F" w:rsidRPr="00190574" w:rsidRDefault="006A294F" w:rsidP="006A294F">
            <w:pPr>
              <w:jc w:val="center"/>
              <w:rPr>
                <w:rFonts w:ascii="Times New Roman" w:eastAsiaTheme="minorHAnsi" w:hAnsi="Times New Roman"/>
                <w:sz w:val="24"/>
              </w:rPr>
            </w:pPr>
            <w:r w:rsidRPr="00190574">
              <w:rPr>
                <w:rFonts w:ascii="Times New Roman" w:hAnsi="Times New Roman"/>
                <w:sz w:val="24"/>
              </w:rPr>
              <w:t>60%</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rsidR="006A294F" w:rsidRPr="00190574" w:rsidRDefault="006A294F" w:rsidP="006A294F">
            <w:pPr>
              <w:jc w:val="center"/>
              <w:rPr>
                <w:rFonts w:ascii="Times New Roman" w:eastAsiaTheme="minorHAnsi" w:hAnsi="Times New Roman"/>
                <w:sz w:val="24"/>
              </w:rPr>
            </w:pPr>
            <w:r w:rsidRPr="00190574">
              <w:rPr>
                <w:rFonts w:ascii="Times New Roman" w:hAnsi="Times New Roman"/>
                <w:sz w:val="24"/>
              </w:rPr>
              <w:t>95%</w:t>
            </w:r>
          </w:p>
        </w:tc>
      </w:tr>
      <w:tr w:rsidR="006A294F" w:rsidRPr="00190574" w:rsidTr="006A294F">
        <w:trPr>
          <w:jc w:val="center"/>
        </w:trPr>
        <w:tc>
          <w:tcPr>
            <w:tcW w:w="18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294F" w:rsidRPr="00190574" w:rsidRDefault="006A294F">
            <w:pPr>
              <w:rPr>
                <w:rFonts w:ascii="Times New Roman" w:eastAsiaTheme="minorHAnsi" w:hAnsi="Times New Roman"/>
                <w:sz w:val="24"/>
              </w:rPr>
            </w:pPr>
            <w:r w:rsidRPr="00190574">
              <w:rPr>
                <w:rFonts w:ascii="Times New Roman" w:hAnsi="Times New Roman"/>
                <w:sz w:val="24"/>
              </w:rPr>
              <w:t>Engine</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rsidR="006A294F" w:rsidRPr="00190574" w:rsidRDefault="006A294F" w:rsidP="006A294F">
            <w:pPr>
              <w:jc w:val="center"/>
              <w:rPr>
                <w:rFonts w:ascii="Times New Roman" w:eastAsiaTheme="minorHAnsi" w:hAnsi="Times New Roman"/>
                <w:sz w:val="24"/>
              </w:rPr>
            </w:pPr>
            <w:r w:rsidRPr="00190574">
              <w:rPr>
                <w:rFonts w:ascii="Times New Roman" w:hAnsi="Times New Roman"/>
                <w:sz w:val="24"/>
              </w:rPr>
              <w:t>40%</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rsidR="006A294F" w:rsidRPr="00190574" w:rsidRDefault="006A294F" w:rsidP="006A294F">
            <w:pPr>
              <w:jc w:val="center"/>
              <w:rPr>
                <w:rFonts w:ascii="Times New Roman" w:eastAsiaTheme="minorHAnsi" w:hAnsi="Times New Roman"/>
                <w:sz w:val="24"/>
              </w:rPr>
            </w:pPr>
            <w:r w:rsidRPr="00190574">
              <w:rPr>
                <w:rFonts w:ascii="Times New Roman" w:hAnsi="Times New Roman"/>
                <w:sz w:val="24"/>
              </w:rPr>
              <w:t>5%</w:t>
            </w:r>
          </w:p>
        </w:tc>
      </w:tr>
    </w:tbl>
    <w:p w:rsidR="006A294F" w:rsidRPr="00190574" w:rsidRDefault="006A294F" w:rsidP="00101AF0">
      <w:pPr>
        <w:spacing w:after="180" w:line="264" w:lineRule="auto"/>
        <w:ind w:firstLine="0"/>
        <w:rPr>
          <w:rFonts w:ascii="Times New Roman" w:hAnsi="Times New Roman"/>
          <w:sz w:val="24"/>
        </w:rPr>
      </w:pPr>
    </w:p>
    <w:p w:rsidR="006A294F" w:rsidRPr="00190574" w:rsidRDefault="006A294F" w:rsidP="00101AF0">
      <w:pPr>
        <w:spacing w:after="180" w:line="264" w:lineRule="auto"/>
        <w:ind w:firstLine="0"/>
        <w:rPr>
          <w:rFonts w:ascii="Times New Roman" w:hAnsi="Times New Roman"/>
          <w:sz w:val="24"/>
        </w:rPr>
      </w:pPr>
    </w:p>
    <w:p w:rsidR="00D943A0" w:rsidRPr="00190574" w:rsidRDefault="006629C8" w:rsidP="00A17563">
      <w:pPr>
        <w:pStyle w:val="Heading2"/>
        <w:rPr>
          <w:rFonts w:ascii="Times New Roman" w:hAnsi="Times New Roman" w:cs="Times New Roman"/>
          <w:color w:val="auto"/>
          <w:sz w:val="28"/>
        </w:rPr>
      </w:pPr>
      <w:bookmarkStart w:id="21" w:name="_Toc484000166"/>
      <w:r w:rsidRPr="00190574">
        <w:rPr>
          <w:rFonts w:ascii="Times New Roman" w:hAnsi="Times New Roman" w:cs="Times New Roman"/>
          <w:color w:val="auto"/>
          <w:sz w:val="28"/>
        </w:rPr>
        <w:t>4</w:t>
      </w:r>
      <w:r w:rsidR="00D943A0" w:rsidRPr="00190574">
        <w:rPr>
          <w:rFonts w:ascii="Times New Roman" w:hAnsi="Times New Roman" w:cs="Times New Roman"/>
          <w:color w:val="auto"/>
          <w:sz w:val="28"/>
        </w:rPr>
        <w:t>.2 Non-fuel Use Energy Adjustment</w:t>
      </w:r>
      <w:bookmarkEnd w:id="21"/>
    </w:p>
    <w:p w:rsidR="00D943A0" w:rsidRPr="00190574" w:rsidRDefault="00D943A0" w:rsidP="00A17563">
      <w:pPr>
        <w:pStyle w:val="Default"/>
        <w:spacing w:after="180" w:line="264" w:lineRule="auto"/>
        <w:rPr>
          <w:color w:val="auto"/>
        </w:rPr>
      </w:pPr>
      <w:r w:rsidRPr="00190574">
        <w:rPr>
          <w:color w:val="auto"/>
        </w:rPr>
        <w:t xml:space="preserve">Some industrial sector energy is consumed for non-fuel purposes, such as natural gas that is used as a feedstock in chemical manufacturing plants and to make nitrogenous fertilizer, and LPG that is used to create intermediate products that are ultimately made into plastics. In order to estimate the volume of fuel that is associated with industrial combustion, it is necessary to subtract the volume of fuel consumption for non-energy uses from the volume of total fuel consumption. </w:t>
      </w:r>
    </w:p>
    <w:p w:rsidR="00720614" w:rsidRPr="00190574" w:rsidRDefault="00D943A0" w:rsidP="00720614">
      <w:pPr>
        <w:ind w:firstLine="0"/>
        <w:rPr>
          <w:rFonts w:ascii="Times New Roman" w:hAnsi="Times New Roman"/>
          <w:sz w:val="24"/>
        </w:rPr>
      </w:pPr>
      <w:r w:rsidRPr="00190574">
        <w:rPr>
          <w:rFonts w:ascii="Times New Roman" w:hAnsi="Times New Roman"/>
          <w:sz w:val="24"/>
        </w:rPr>
        <w:t xml:space="preserve">The identification of feedstock usage was initially based upon the non-fuel use assumptions incorporated into the EIA’s GHG emissions inventory for 2005 (EIA, 2007). The following fuels </w:t>
      </w:r>
      <w:r w:rsidR="005B1853" w:rsidRPr="00190574">
        <w:rPr>
          <w:rFonts w:ascii="Times New Roman" w:hAnsi="Times New Roman"/>
          <w:sz w:val="24"/>
        </w:rPr>
        <w:t>are</w:t>
      </w:r>
      <w:r w:rsidRPr="00190574">
        <w:rPr>
          <w:rFonts w:ascii="Times New Roman" w:hAnsi="Times New Roman"/>
          <w:sz w:val="24"/>
        </w:rPr>
        <w:t xml:space="preserve"> assumed to be used entirely for non-fuel purposes: asphalt and road oil, feedstocks (naphtha &lt;401 °F), feedstocks (other oils &gt;401 °F), lubricants, miscellaneous petroleum products, pentanes plus, special naphthas, and waxes. In addition, it </w:t>
      </w:r>
      <w:r w:rsidR="005B1853" w:rsidRPr="00190574">
        <w:rPr>
          <w:rFonts w:ascii="Times New Roman" w:hAnsi="Times New Roman"/>
          <w:sz w:val="24"/>
        </w:rPr>
        <w:t>is</w:t>
      </w:r>
      <w:r w:rsidRPr="00190574">
        <w:rPr>
          <w:rFonts w:ascii="Times New Roman" w:hAnsi="Times New Roman"/>
          <w:sz w:val="24"/>
        </w:rPr>
        <w:t xml:space="preserve"> also assumed that kerosene and motor gasoline </w:t>
      </w:r>
      <w:r w:rsidR="005B1853" w:rsidRPr="00190574">
        <w:rPr>
          <w:rFonts w:ascii="Times New Roman" w:hAnsi="Times New Roman"/>
          <w:sz w:val="24"/>
        </w:rPr>
        <w:t>are</w:t>
      </w:r>
      <w:r w:rsidRPr="00190574">
        <w:rPr>
          <w:rFonts w:ascii="Times New Roman" w:hAnsi="Times New Roman"/>
          <w:sz w:val="24"/>
        </w:rPr>
        <w:t xml:space="preserve"> used entirely as fuel without any non-fuel purposes. The remaining fuels (i.e., coal [non-coke], distillate oil, LPG, natural gas, and residual oil) are used both for fuel and non-fuel purposes. The regional non-fuel fractions for</w:t>
      </w:r>
      <w:r w:rsidR="002D2904" w:rsidRPr="00190574">
        <w:rPr>
          <w:rFonts w:ascii="Times New Roman" w:hAnsi="Times New Roman"/>
          <w:sz w:val="24"/>
        </w:rPr>
        <w:t xml:space="preserve"> </w:t>
      </w:r>
      <w:r w:rsidRPr="00190574">
        <w:rPr>
          <w:rFonts w:ascii="Times New Roman" w:hAnsi="Times New Roman"/>
          <w:sz w:val="24"/>
        </w:rPr>
        <w:t xml:space="preserve">distillate oil, LPG, natural gas, </w:t>
      </w:r>
      <w:r w:rsidR="00892559" w:rsidRPr="00190574">
        <w:rPr>
          <w:rFonts w:ascii="Times New Roman" w:hAnsi="Times New Roman"/>
          <w:sz w:val="24"/>
        </w:rPr>
        <w:t xml:space="preserve">non-coke coal </w:t>
      </w:r>
      <w:r w:rsidRPr="00190574">
        <w:rPr>
          <w:rFonts w:ascii="Times New Roman" w:hAnsi="Times New Roman"/>
          <w:sz w:val="24"/>
        </w:rPr>
        <w:t xml:space="preserve">and residual oil </w:t>
      </w:r>
      <w:r w:rsidR="005B1853" w:rsidRPr="00190574">
        <w:rPr>
          <w:rFonts w:ascii="Times New Roman" w:hAnsi="Times New Roman"/>
          <w:sz w:val="24"/>
        </w:rPr>
        <w:t>are</w:t>
      </w:r>
      <w:r w:rsidRPr="00190574">
        <w:rPr>
          <w:rFonts w:ascii="Times New Roman" w:hAnsi="Times New Roman"/>
          <w:sz w:val="24"/>
        </w:rPr>
        <w:t xml:space="preserve"> derived from non-fuel (feedstock) and total energy use statistics contained in EIA’s </w:t>
      </w:r>
      <w:r w:rsidRPr="00190574">
        <w:rPr>
          <w:rFonts w:ascii="Times New Roman" w:hAnsi="Times New Roman"/>
          <w:i/>
          <w:iCs/>
          <w:sz w:val="24"/>
        </w:rPr>
        <w:t>20</w:t>
      </w:r>
      <w:r w:rsidR="00C674E8" w:rsidRPr="00190574">
        <w:rPr>
          <w:rFonts w:ascii="Times New Roman" w:hAnsi="Times New Roman"/>
          <w:i/>
          <w:iCs/>
          <w:sz w:val="24"/>
        </w:rPr>
        <w:t>10</w:t>
      </w:r>
      <w:r w:rsidRPr="00190574">
        <w:rPr>
          <w:rFonts w:ascii="Times New Roman" w:hAnsi="Times New Roman"/>
          <w:i/>
          <w:iCs/>
          <w:sz w:val="24"/>
        </w:rPr>
        <w:t xml:space="preserve"> Manufacturing Energy Consumption Survey (MECS) </w:t>
      </w:r>
      <w:r w:rsidRPr="00190574">
        <w:rPr>
          <w:rFonts w:ascii="Times New Roman" w:hAnsi="Times New Roman"/>
          <w:sz w:val="24"/>
        </w:rPr>
        <w:t>(EIA, 20</w:t>
      </w:r>
      <w:r w:rsidR="00222FC2" w:rsidRPr="00190574">
        <w:rPr>
          <w:rFonts w:ascii="Times New Roman" w:hAnsi="Times New Roman"/>
          <w:sz w:val="24"/>
        </w:rPr>
        <w:t>13b)</w:t>
      </w:r>
      <w:r w:rsidR="00E75876" w:rsidRPr="00190574">
        <w:rPr>
          <w:rFonts w:ascii="Times New Roman" w:hAnsi="Times New Roman"/>
          <w:sz w:val="24"/>
        </w:rPr>
        <w:t xml:space="preserve"> and are presented in</w:t>
      </w:r>
      <w:r w:rsidR="00720614" w:rsidRPr="00190574">
        <w:rPr>
          <w:rFonts w:ascii="Times New Roman" w:hAnsi="Times New Roman"/>
          <w:sz w:val="24"/>
        </w:rPr>
        <w:t xml:space="preserve"> </w:t>
      </w:r>
      <w:r w:rsidR="00720614" w:rsidRPr="00190574">
        <w:rPr>
          <w:rFonts w:ascii="Times New Roman" w:hAnsi="Times New Roman"/>
          <w:sz w:val="24"/>
        </w:rPr>
        <w:fldChar w:fldCharType="begin"/>
      </w:r>
      <w:r w:rsidR="00720614" w:rsidRPr="00190574">
        <w:rPr>
          <w:rFonts w:ascii="Times New Roman" w:hAnsi="Times New Roman"/>
          <w:sz w:val="24"/>
        </w:rPr>
        <w:instrText xml:space="preserve"> REF _Ref416172158 \h </w:instrText>
      </w:r>
      <w:r w:rsidR="00720614" w:rsidRPr="00190574">
        <w:rPr>
          <w:rFonts w:ascii="Times New Roman" w:hAnsi="Times New Roman"/>
          <w:sz w:val="24"/>
        </w:rPr>
      </w:r>
      <w:r w:rsidR="00190574" w:rsidRPr="00190574">
        <w:rPr>
          <w:rFonts w:ascii="Times New Roman" w:hAnsi="Times New Roman"/>
          <w:sz w:val="24"/>
        </w:rPr>
        <w:instrText xml:space="preserve"> \* MERGEFORMAT </w:instrText>
      </w:r>
      <w:r w:rsidR="00720614" w:rsidRPr="00190574">
        <w:rPr>
          <w:rFonts w:ascii="Times New Roman" w:hAnsi="Times New Roman"/>
          <w:sz w:val="24"/>
        </w:rPr>
        <w:fldChar w:fldCharType="separate"/>
      </w:r>
      <w:r w:rsidR="0021591B" w:rsidRPr="00190574">
        <w:rPr>
          <w:rFonts w:ascii="Times New Roman" w:hAnsi="Times New Roman"/>
          <w:sz w:val="24"/>
        </w:rPr>
        <w:t xml:space="preserve">Table </w:t>
      </w:r>
      <w:r w:rsidR="0021591B" w:rsidRPr="00190574">
        <w:rPr>
          <w:rFonts w:ascii="Times New Roman" w:hAnsi="Times New Roman"/>
          <w:noProof/>
          <w:sz w:val="24"/>
        </w:rPr>
        <w:t>6</w:t>
      </w:r>
      <w:r w:rsidR="00720614" w:rsidRPr="00190574">
        <w:rPr>
          <w:rFonts w:ascii="Times New Roman" w:hAnsi="Times New Roman"/>
          <w:sz w:val="24"/>
        </w:rPr>
        <w:fldChar w:fldCharType="end"/>
      </w:r>
      <w:r w:rsidR="00720614" w:rsidRPr="00190574">
        <w:rPr>
          <w:rFonts w:ascii="Times New Roman" w:hAnsi="Times New Roman"/>
          <w:sz w:val="24"/>
        </w:rPr>
        <w:t>.</w:t>
      </w:r>
    </w:p>
    <w:p w:rsidR="00720614" w:rsidRPr="00190574" w:rsidRDefault="00720614" w:rsidP="00720614">
      <w:pPr>
        <w:ind w:firstLine="0"/>
        <w:rPr>
          <w:rFonts w:ascii="Times New Roman" w:hAnsi="Times New Roman"/>
          <w:sz w:val="24"/>
        </w:rPr>
      </w:pPr>
    </w:p>
    <w:p w:rsidR="00CD2321" w:rsidRPr="00190574" w:rsidRDefault="004416B6" w:rsidP="00EA4BF9">
      <w:pPr>
        <w:pStyle w:val="Caption"/>
        <w:ind w:firstLine="0"/>
        <w:jc w:val="center"/>
        <w:rPr>
          <w:rFonts w:ascii="Times New Roman" w:hAnsi="Times New Roman"/>
          <w:sz w:val="24"/>
          <w:szCs w:val="24"/>
        </w:rPr>
      </w:pPr>
      <w:bookmarkStart w:id="22" w:name="_Ref416172158"/>
      <w:bookmarkStart w:id="23" w:name="_Toc484000183"/>
      <w:r w:rsidRPr="00190574">
        <w:rPr>
          <w:rFonts w:ascii="Times New Roman" w:hAnsi="Times New Roman"/>
          <w:sz w:val="24"/>
          <w:szCs w:val="24"/>
        </w:rPr>
        <w:t xml:space="preserve">Table </w:t>
      </w:r>
      <w:r w:rsidR="006100DB" w:rsidRPr="00190574">
        <w:rPr>
          <w:rFonts w:ascii="Times New Roman" w:hAnsi="Times New Roman"/>
          <w:sz w:val="24"/>
          <w:szCs w:val="24"/>
        </w:rPr>
        <w:fldChar w:fldCharType="begin"/>
      </w:r>
      <w:r w:rsidR="006100DB" w:rsidRPr="00190574">
        <w:rPr>
          <w:rFonts w:ascii="Times New Roman" w:hAnsi="Times New Roman"/>
          <w:sz w:val="24"/>
          <w:szCs w:val="24"/>
        </w:rPr>
        <w:instrText xml:space="preserve"> SEQ Table \* ARABIC </w:instrText>
      </w:r>
      <w:r w:rsidR="006100DB" w:rsidRPr="00190574">
        <w:rPr>
          <w:rFonts w:ascii="Times New Roman" w:hAnsi="Times New Roman"/>
          <w:sz w:val="24"/>
          <w:szCs w:val="24"/>
        </w:rPr>
        <w:fldChar w:fldCharType="separate"/>
      </w:r>
      <w:r w:rsidR="0021591B" w:rsidRPr="00190574">
        <w:rPr>
          <w:rFonts w:ascii="Times New Roman" w:hAnsi="Times New Roman"/>
          <w:noProof/>
          <w:sz w:val="24"/>
          <w:szCs w:val="24"/>
        </w:rPr>
        <w:t>6</w:t>
      </w:r>
      <w:r w:rsidR="006100DB" w:rsidRPr="00190574">
        <w:rPr>
          <w:rFonts w:ascii="Times New Roman" w:hAnsi="Times New Roman"/>
          <w:sz w:val="24"/>
          <w:szCs w:val="24"/>
        </w:rPr>
        <w:fldChar w:fldCharType="end"/>
      </w:r>
      <w:bookmarkEnd w:id="22"/>
      <w:r w:rsidRPr="00190574">
        <w:rPr>
          <w:rFonts w:ascii="Times New Roman" w:hAnsi="Times New Roman"/>
          <w:sz w:val="24"/>
          <w:szCs w:val="24"/>
        </w:rPr>
        <w:t>.</w:t>
      </w:r>
      <w:r w:rsidR="00CD2321" w:rsidRPr="00190574">
        <w:rPr>
          <w:rFonts w:ascii="Times New Roman" w:hAnsi="Times New Roman"/>
          <w:b w:val="0"/>
          <w:bCs w:val="0"/>
          <w:sz w:val="24"/>
          <w:szCs w:val="24"/>
        </w:rPr>
        <w:t xml:space="preserve"> Industrial Sector Non-Fuel Use Estimates</w:t>
      </w:r>
      <w:bookmarkEnd w:id="23"/>
    </w:p>
    <w:tbl>
      <w:tblPr>
        <w:tblW w:w="8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Table 6. Industrial Sector Non-Fuel Use Estimates"/>
        <w:tblDescription w:val="Fuel  % of Total Energy Consumption from Non-Fuel Use  Source&#10; Northeast Midwest South West &#10;"/>
      </w:tblPr>
      <w:tblGrid>
        <w:gridCol w:w="1863"/>
        <w:gridCol w:w="1314"/>
        <w:gridCol w:w="1314"/>
        <w:gridCol w:w="1260"/>
        <w:gridCol w:w="1350"/>
        <w:gridCol w:w="1620"/>
      </w:tblGrid>
      <w:tr w:rsidR="00190574" w:rsidRPr="00190574" w:rsidTr="00190574">
        <w:trPr>
          <w:trHeight w:val="302"/>
          <w:jc w:val="center"/>
        </w:trPr>
        <w:tc>
          <w:tcPr>
            <w:tcW w:w="1863" w:type="dxa"/>
            <w:vMerge w:val="restart"/>
            <w:shd w:val="clear" w:color="auto" w:fill="D6291C"/>
            <w:vAlign w:val="center"/>
          </w:tcPr>
          <w:p w:rsidR="004416B6" w:rsidRPr="00190574" w:rsidRDefault="004416B6" w:rsidP="00373402">
            <w:pPr>
              <w:pStyle w:val="Default"/>
              <w:rPr>
                <w:color w:val="auto"/>
              </w:rPr>
            </w:pPr>
            <w:r w:rsidRPr="00190574">
              <w:rPr>
                <w:b/>
                <w:bCs/>
                <w:color w:val="auto"/>
              </w:rPr>
              <w:t xml:space="preserve">Fuel </w:t>
            </w:r>
          </w:p>
        </w:tc>
        <w:tc>
          <w:tcPr>
            <w:tcW w:w="5238" w:type="dxa"/>
            <w:gridSpan w:val="4"/>
            <w:shd w:val="clear" w:color="auto" w:fill="D6291C"/>
          </w:tcPr>
          <w:p w:rsidR="004416B6" w:rsidRPr="00190574" w:rsidRDefault="004416B6">
            <w:pPr>
              <w:pStyle w:val="Default"/>
              <w:rPr>
                <w:color w:val="auto"/>
              </w:rPr>
            </w:pPr>
            <w:r w:rsidRPr="00190574">
              <w:rPr>
                <w:b/>
                <w:bCs/>
                <w:color w:val="auto"/>
              </w:rPr>
              <w:t xml:space="preserve">% of Total Energy Consumption from Non-Fuel Use </w:t>
            </w:r>
          </w:p>
        </w:tc>
        <w:tc>
          <w:tcPr>
            <w:tcW w:w="1620" w:type="dxa"/>
            <w:vMerge w:val="restart"/>
            <w:shd w:val="clear" w:color="auto" w:fill="D6291C"/>
            <w:vAlign w:val="center"/>
          </w:tcPr>
          <w:p w:rsidR="004416B6" w:rsidRPr="00190574" w:rsidRDefault="004416B6" w:rsidP="00373402">
            <w:pPr>
              <w:pStyle w:val="Default"/>
              <w:jc w:val="center"/>
              <w:rPr>
                <w:color w:val="auto"/>
              </w:rPr>
            </w:pPr>
            <w:r w:rsidRPr="00190574">
              <w:rPr>
                <w:b/>
                <w:bCs/>
                <w:color w:val="auto"/>
              </w:rPr>
              <w:t>Source</w:t>
            </w:r>
          </w:p>
        </w:tc>
      </w:tr>
      <w:tr w:rsidR="00190574" w:rsidRPr="00190574" w:rsidTr="00190574">
        <w:trPr>
          <w:trHeight w:val="302"/>
          <w:jc w:val="center"/>
        </w:trPr>
        <w:tc>
          <w:tcPr>
            <w:tcW w:w="1863" w:type="dxa"/>
            <w:vMerge/>
            <w:shd w:val="clear" w:color="auto" w:fill="D6291C"/>
            <w:vAlign w:val="center"/>
          </w:tcPr>
          <w:p w:rsidR="004416B6" w:rsidRPr="00190574" w:rsidRDefault="004416B6" w:rsidP="00373402">
            <w:pPr>
              <w:pStyle w:val="Default"/>
              <w:rPr>
                <w:b/>
                <w:bCs/>
                <w:color w:val="auto"/>
              </w:rPr>
            </w:pPr>
          </w:p>
        </w:tc>
        <w:tc>
          <w:tcPr>
            <w:tcW w:w="1314" w:type="dxa"/>
            <w:shd w:val="clear" w:color="auto" w:fill="D6291C"/>
            <w:vAlign w:val="center"/>
          </w:tcPr>
          <w:p w:rsidR="004416B6" w:rsidRPr="00190574" w:rsidRDefault="004416B6" w:rsidP="00373402">
            <w:pPr>
              <w:pStyle w:val="Default"/>
              <w:jc w:val="center"/>
              <w:rPr>
                <w:color w:val="auto"/>
              </w:rPr>
            </w:pPr>
            <w:r w:rsidRPr="00190574">
              <w:rPr>
                <w:b/>
                <w:bCs/>
                <w:color w:val="auto"/>
              </w:rPr>
              <w:t>Northeast</w:t>
            </w:r>
          </w:p>
        </w:tc>
        <w:tc>
          <w:tcPr>
            <w:tcW w:w="1314" w:type="dxa"/>
            <w:shd w:val="clear" w:color="auto" w:fill="D6291C"/>
            <w:vAlign w:val="center"/>
          </w:tcPr>
          <w:p w:rsidR="004416B6" w:rsidRPr="00190574" w:rsidRDefault="00892559" w:rsidP="00373402">
            <w:pPr>
              <w:pStyle w:val="Default"/>
              <w:jc w:val="center"/>
              <w:rPr>
                <w:color w:val="auto"/>
              </w:rPr>
            </w:pPr>
            <w:r w:rsidRPr="00190574">
              <w:rPr>
                <w:b/>
                <w:bCs/>
                <w:color w:val="auto"/>
              </w:rPr>
              <w:t>Midwest</w:t>
            </w:r>
          </w:p>
        </w:tc>
        <w:tc>
          <w:tcPr>
            <w:tcW w:w="1260" w:type="dxa"/>
            <w:shd w:val="clear" w:color="auto" w:fill="D6291C"/>
            <w:vAlign w:val="center"/>
          </w:tcPr>
          <w:p w:rsidR="004416B6" w:rsidRPr="00190574" w:rsidRDefault="00892559" w:rsidP="00373402">
            <w:pPr>
              <w:pStyle w:val="Default"/>
              <w:jc w:val="center"/>
              <w:rPr>
                <w:color w:val="auto"/>
              </w:rPr>
            </w:pPr>
            <w:r w:rsidRPr="00190574">
              <w:rPr>
                <w:b/>
                <w:bCs/>
                <w:color w:val="auto"/>
              </w:rPr>
              <w:t>South</w:t>
            </w:r>
          </w:p>
        </w:tc>
        <w:tc>
          <w:tcPr>
            <w:tcW w:w="1350" w:type="dxa"/>
            <w:shd w:val="clear" w:color="auto" w:fill="D6291C"/>
            <w:vAlign w:val="center"/>
          </w:tcPr>
          <w:p w:rsidR="004416B6" w:rsidRPr="00190574" w:rsidRDefault="004416B6" w:rsidP="00373402">
            <w:pPr>
              <w:pStyle w:val="Default"/>
              <w:jc w:val="center"/>
              <w:rPr>
                <w:color w:val="auto"/>
              </w:rPr>
            </w:pPr>
            <w:r w:rsidRPr="00190574">
              <w:rPr>
                <w:b/>
                <w:bCs/>
                <w:color w:val="auto"/>
              </w:rPr>
              <w:t>West</w:t>
            </w:r>
          </w:p>
        </w:tc>
        <w:tc>
          <w:tcPr>
            <w:tcW w:w="1620" w:type="dxa"/>
            <w:vMerge/>
            <w:shd w:val="clear" w:color="auto" w:fill="D6291C"/>
            <w:vAlign w:val="center"/>
          </w:tcPr>
          <w:p w:rsidR="004416B6" w:rsidRPr="00190574" w:rsidRDefault="004416B6" w:rsidP="00373402">
            <w:pPr>
              <w:pStyle w:val="Default"/>
              <w:jc w:val="center"/>
              <w:rPr>
                <w:b/>
                <w:bCs/>
                <w:color w:val="auto"/>
              </w:rPr>
            </w:pPr>
          </w:p>
        </w:tc>
      </w:tr>
      <w:tr w:rsidR="00190574" w:rsidRPr="00190574" w:rsidTr="00190574">
        <w:trPr>
          <w:trHeight w:val="302"/>
          <w:jc w:val="center"/>
        </w:trPr>
        <w:tc>
          <w:tcPr>
            <w:tcW w:w="1863" w:type="dxa"/>
            <w:vAlign w:val="center"/>
          </w:tcPr>
          <w:p w:rsidR="00373402" w:rsidRPr="00190574" w:rsidRDefault="00373402" w:rsidP="00373402">
            <w:pPr>
              <w:pStyle w:val="Default"/>
              <w:rPr>
                <w:color w:val="auto"/>
              </w:rPr>
            </w:pPr>
            <w:r w:rsidRPr="00190574">
              <w:rPr>
                <w:color w:val="auto"/>
              </w:rPr>
              <w:lastRenderedPageBreak/>
              <w:t xml:space="preserve">Non-Coke Coal </w:t>
            </w:r>
          </w:p>
        </w:tc>
        <w:tc>
          <w:tcPr>
            <w:tcW w:w="1314" w:type="dxa"/>
            <w:vAlign w:val="center"/>
          </w:tcPr>
          <w:p w:rsidR="00373402" w:rsidRPr="00190574" w:rsidRDefault="00E75876" w:rsidP="00373402">
            <w:pPr>
              <w:jc w:val="center"/>
              <w:rPr>
                <w:sz w:val="24"/>
              </w:rPr>
            </w:pPr>
            <w:r w:rsidRPr="00190574">
              <w:rPr>
                <w:sz w:val="24"/>
              </w:rPr>
              <w:t>63</w:t>
            </w:r>
          </w:p>
        </w:tc>
        <w:tc>
          <w:tcPr>
            <w:tcW w:w="1314" w:type="dxa"/>
            <w:vAlign w:val="center"/>
          </w:tcPr>
          <w:p w:rsidR="00373402" w:rsidRPr="00190574" w:rsidRDefault="00E75876" w:rsidP="00373402">
            <w:pPr>
              <w:jc w:val="center"/>
              <w:rPr>
                <w:sz w:val="24"/>
              </w:rPr>
            </w:pPr>
            <w:r w:rsidRPr="00190574">
              <w:rPr>
                <w:sz w:val="24"/>
              </w:rPr>
              <w:t>38</w:t>
            </w:r>
          </w:p>
        </w:tc>
        <w:tc>
          <w:tcPr>
            <w:tcW w:w="1260" w:type="dxa"/>
            <w:vAlign w:val="center"/>
          </w:tcPr>
          <w:p w:rsidR="00373402" w:rsidRPr="00190574" w:rsidRDefault="00E75876" w:rsidP="00373402">
            <w:pPr>
              <w:jc w:val="center"/>
              <w:rPr>
                <w:sz w:val="24"/>
              </w:rPr>
            </w:pPr>
            <w:r w:rsidRPr="00190574">
              <w:rPr>
                <w:sz w:val="24"/>
              </w:rPr>
              <w:t>26</w:t>
            </w:r>
          </w:p>
        </w:tc>
        <w:tc>
          <w:tcPr>
            <w:tcW w:w="1350" w:type="dxa"/>
            <w:vAlign w:val="center"/>
          </w:tcPr>
          <w:p w:rsidR="00373402" w:rsidRPr="00190574" w:rsidRDefault="00E75876" w:rsidP="00373402">
            <w:pPr>
              <w:jc w:val="center"/>
              <w:rPr>
                <w:sz w:val="24"/>
              </w:rPr>
            </w:pPr>
            <w:r w:rsidRPr="00190574">
              <w:rPr>
                <w:sz w:val="24"/>
              </w:rPr>
              <w:t>4</w:t>
            </w:r>
            <w:r w:rsidR="00373402" w:rsidRPr="00190574">
              <w:rPr>
                <w:sz w:val="24"/>
                <w:vertAlign w:val="superscript"/>
              </w:rPr>
              <w:t>b</w:t>
            </w:r>
          </w:p>
        </w:tc>
        <w:tc>
          <w:tcPr>
            <w:tcW w:w="1620" w:type="dxa"/>
            <w:vAlign w:val="center"/>
          </w:tcPr>
          <w:p w:rsidR="00373402" w:rsidRPr="00190574" w:rsidRDefault="00373402" w:rsidP="00373402">
            <w:pPr>
              <w:pStyle w:val="Default"/>
              <w:jc w:val="center"/>
              <w:rPr>
                <w:color w:val="auto"/>
              </w:rPr>
            </w:pPr>
            <w:r w:rsidRPr="00190574">
              <w:rPr>
                <w:color w:val="auto"/>
              </w:rPr>
              <w:t>2010 MECS</w:t>
            </w:r>
          </w:p>
        </w:tc>
      </w:tr>
      <w:tr w:rsidR="00190574" w:rsidRPr="00190574" w:rsidTr="00190574">
        <w:trPr>
          <w:trHeight w:val="302"/>
          <w:jc w:val="center"/>
        </w:trPr>
        <w:tc>
          <w:tcPr>
            <w:tcW w:w="1863" w:type="dxa"/>
            <w:vAlign w:val="center"/>
          </w:tcPr>
          <w:p w:rsidR="00373402" w:rsidRPr="00190574" w:rsidRDefault="00373402" w:rsidP="00373402">
            <w:pPr>
              <w:pStyle w:val="Default"/>
              <w:rPr>
                <w:color w:val="auto"/>
              </w:rPr>
            </w:pPr>
            <w:r w:rsidRPr="00190574">
              <w:rPr>
                <w:color w:val="auto"/>
              </w:rPr>
              <w:t>Natural Gas</w:t>
            </w:r>
          </w:p>
        </w:tc>
        <w:tc>
          <w:tcPr>
            <w:tcW w:w="1314" w:type="dxa"/>
            <w:vAlign w:val="center"/>
          </w:tcPr>
          <w:p w:rsidR="00373402" w:rsidRPr="00190574" w:rsidRDefault="00E75876" w:rsidP="00373402">
            <w:pPr>
              <w:jc w:val="center"/>
              <w:rPr>
                <w:sz w:val="24"/>
              </w:rPr>
            </w:pPr>
            <w:r w:rsidRPr="00190574">
              <w:rPr>
                <w:sz w:val="24"/>
              </w:rPr>
              <w:t>1</w:t>
            </w:r>
          </w:p>
        </w:tc>
        <w:tc>
          <w:tcPr>
            <w:tcW w:w="1314" w:type="dxa"/>
            <w:vAlign w:val="center"/>
          </w:tcPr>
          <w:p w:rsidR="00373402" w:rsidRPr="00190574" w:rsidRDefault="00E75876" w:rsidP="00373402">
            <w:pPr>
              <w:jc w:val="center"/>
              <w:rPr>
                <w:sz w:val="24"/>
              </w:rPr>
            </w:pPr>
            <w:r w:rsidRPr="00190574">
              <w:rPr>
                <w:sz w:val="24"/>
              </w:rPr>
              <w:t>5</w:t>
            </w:r>
          </w:p>
        </w:tc>
        <w:tc>
          <w:tcPr>
            <w:tcW w:w="1260" w:type="dxa"/>
            <w:vAlign w:val="center"/>
          </w:tcPr>
          <w:p w:rsidR="00373402" w:rsidRPr="00190574" w:rsidRDefault="00E75876" w:rsidP="00373402">
            <w:pPr>
              <w:jc w:val="center"/>
              <w:rPr>
                <w:sz w:val="24"/>
              </w:rPr>
            </w:pPr>
            <w:r w:rsidRPr="00190574">
              <w:rPr>
                <w:sz w:val="24"/>
              </w:rPr>
              <w:t>14</w:t>
            </w:r>
          </w:p>
        </w:tc>
        <w:tc>
          <w:tcPr>
            <w:tcW w:w="1350" w:type="dxa"/>
            <w:vAlign w:val="center"/>
          </w:tcPr>
          <w:p w:rsidR="00373402" w:rsidRPr="00190574" w:rsidRDefault="00E75876" w:rsidP="00373402">
            <w:pPr>
              <w:jc w:val="center"/>
              <w:rPr>
                <w:sz w:val="24"/>
              </w:rPr>
            </w:pPr>
            <w:r w:rsidRPr="00190574">
              <w:rPr>
                <w:sz w:val="24"/>
              </w:rPr>
              <w:t>2</w:t>
            </w:r>
          </w:p>
        </w:tc>
        <w:tc>
          <w:tcPr>
            <w:tcW w:w="1620" w:type="dxa"/>
            <w:vAlign w:val="center"/>
          </w:tcPr>
          <w:p w:rsidR="00373402" w:rsidRPr="00190574" w:rsidRDefault="00373402" w:rsidP="00373402">
            <w:pPr>
              <w:pStyle w:val="Default"/>
              <w:jc w:val="center"/>
              <w:rPr>
                <w:color w:val="auto"/>
              </w:rPr>
            </w:pPr>
            <w:r w:rsidRPr="00190574">
              <w:rPr>
                <w:color w:val="auto"/>
              </w:rPr>
              <w:t>2010 MECS</w:t>
            </w:r>
          </w:p>
        </w:tc>
      </w:tr>
      <w:tr w:rsidR="00190574" w:rsidRPr="00190574" w:rsidTr="00190574">
        <w:trPr>
          <w:trHeight w:val="302"/>
          <w:jc w:val="center"/>
        </w:trPr>
        <w:tc>
          <w:tcPr>
            <w:tcW w:w="1863" w:type="dxa"/>
            <w:vAlign w:val="center"/>
          </w:tcPr>
          <w:p w:rsidR="00373402" w:rsidRPr="00190574" w:rsidRDefault="00373402" w:rsidP="00373402">
            <w:pPr>
              <w:pStyle w:val="Default"/>
              <w:rPr>
                <w:color w:val="auto"/>
              </w:rPr>
            </w:pPr>
            <w:r w:rsidRPr="00190574">
              <w:rPr>
                <w:color w:val="auto"/>
              </w:rPr>
              <w:t>LPG</w:t>
            </w:r>
          </w:p>
        </w:tc>
        <w:tc>
          <w:tcPr>
            <w:tcW w:w="1314" w:type="dxa"/>
            <w:vAlign w:val="center"/>
          </w:tcPr>
          <w:p w:rsidR="00373402" w:rsidRPr="00190574" w:rsidRDefault="00E75876" w:rsidP="00373402">
            <w:pPr>
              <w:jc w:val="center"/>
              <w:rPr>
                <w:sz w:val="24"/>
              </w:rPr>
            </w:pPr>
            <w:r w:rsidRPr="00190574">
              <w:rPr>
                <w:sz w:val="24"/>
              </w:rPr>
              <w:t>33</w:t>
            </w:r>
          </w:p>
        </w:tc>
        <w:tc>
          <w:tcPr>
            <w:tcW w:w="1314" w:type="dxa"/>
            <w:vAlign w:val="center"/>
          </w:tcPr>
          <w:p w:rsidR="00373402" w:rsidRPr="00190574" w:rsidRDefault="00E75876" w:rsidP="00373402">
            <w:pPr>
              <w:jc w:val="center"/>
              <w:rPr>
                <w:sz w:val="24"/>
              </w:rPr>
            </w:pPr>
            <w:r w:rsidRPr="00190574">
              <w:rPr>
                <w:sz w:val="24"/>
              </w:rPr>
              <w:t>88</w:t>
            </w:r>
          </w:p>
        </w:tc>
        <w:tc>
          <w:tcPr>
            <w:tcW w:w="1260" w:type="dxa"/>
            <w:vAlign w:val="center"/>
          </w:tcPr>
          <w:p w:rsidR="00373402" w:rsidRPr="00190574" w:rsidRDefault="00E75876" w:rsidP="00373402">
            <w:pPr>
              <w:jc w:val="center"/>
              <w:rPr>
                <w:sz w:val="24"/>
              </w:rPr>
            </w:pPr>
            <w:r w:rsidRPr="00190574">
              <w:rPr>
                <w:sz w:val="24"/>
              </w:rPr>
              <w:t>99</w:t>
            </w:r>
          </w:p>
        </w:tc>
        <w:tc>
          <w:tcPr>
            <w:tcW w:w="1350" w:type="dxa"/>
            <w:vAlign w:val="center"/>
          </w:tcPr>
          <w:p w:rsidR="00373402" w:rsidRPr="00190574" w:rsidRDefault="00E75876" w:rsidP="00373402">
            <w:pPr>
              <w:jc w:val="center"/>
              <w:rPr>
                <w:sz w:val="24"/>
              </w:rPr>
            </w:pPr>
            <w:r w:rsidRPr="00190574">
              <w:rPr>
                <w:sz w:val="24"/>
              </w:rPr>
              <w:t>6</w:t>
            </w:r>
            <w:r w:rsidR="00373402" w:rsidRPr="00190574">
              <w:rPr>
                <w:sz w:val="24"/>
                <w:vertAlign w:val="superscript"/>
              </w:rPr>
              <w:t>b</w:t>
            </w:r>
          </w:p>
        </w:tc>
        <w:tc>
          <w:tcPr>
            <w:tcW w:w="1620" w:type="dxa"/>
            <w:vAlign w:val="center"/>
          </w:tcPr>
          <w:p w:rsidR="00373402" w:rsidRPr="00190574" w:rsidRDefault="00373402" w:rsidP="00373402">
            <w:pPr>
              <w:pStyle w:val="Default"/>
              <w:jc w:val="center"/>
              <w:rPr>
                <w:color w:val="auto"/>
              </w:rPr>
            </w:pPr>
            <w:r w:rsidRPr="00190574">
              <w:rPr>
                <w:color w:val="auto"/>
              </w:rPr>
              <w:t>2010 MECS</w:t>
            </w:r>
          </w:p>
        </w:tc>
      </w:tr>
      <w:tr w:rsidR="00190574" w:rsidRPr="00190574" w:rsidTr="00190574">
        <w:trPr>
          <w:trHeight w:val="302"/>
          <w:jc w:val="center"/>
        </w:trPr>
        <w:tc>
          <w:tcPr>
            <w:tcW w:w="1863" w:type="dxa"/>
            <w:vAlign w:val="center"/>
          </w:tcPr>
          <w:p w:rsidR="00373402" w:rsidRPr="00190574" w:rsidRDefault="00373402" w:rsidP="00373402">
            <w:pPr>
              <w:pStyle w:val="Default"/>
              <w:rPr>
                <w:color w:val="auto"/>
              </w:rPr>
            </w:pPr>
            <w:r w:rsidRPr="00190574">
              <w:rPr>
                <w:color w:val="auto"/>
              </w:rPr>
              <w:t>Distillate Oil</w:t>
            </w:r>
          </w:p>
        </w:tc>
        <w:tc>
          <w:tcPr>
            <w:tcW w:w="1314" w:type="dxa"/>
            <w:vAlign w:val="center"/>
          </w:tcPr>
          <w:p w:rsidR="00373402" w:rsidRPr="00190574" w:rsidRDefault="00E75876" w:rsidP="00373402">
            <w:pPr>
              <w:jc w:val="center"/>
              <w:rPr>
                <w:sz w:val="24"/>
              </w:rPr>
            </w:pPr>
            <w:r w:rsidRPr="00190574">
              <w:rPr>
                <w:sz w:val="24"/>
              </w:rPr>
              <w:t>4</w:t>
            </w:r>
            <w:r w:rsidR="00373402" w:rsidRPr="00190574">
              <w:rPr>
                <w:sz w:val="24"/>
                <w:vertAlign w:val="superscript"/>
              </w:rPr>
              <w:t>a</w:t>
            </w:r>
          </w:p>
        </w:tc>
        <w:tc>
          <w:tcPr>
            <w:tcW w:w="1314" w:type="dxa"/>
            <w:vAlign w:val="center"/>
          </w:tcPr>
          <w:p w:rsidR="00373402" w:rsidRPr="00190574" w:rsidRDefault="00E75876" w:rsidP="00373402">
            <w:pPr>
              <w:jc w:val="center"/>
              <w:rPr>
                <w:sz w:val="24"/>
              </w:rPr>
            </w:pPr>
            <w:r w:rsidRPr="00190574">
              <w:rPr>
                <w:sz w:val="24"/>
              </w:rPr>
              <w:t>4</w:t>
            </w:r>
            <w:r w:rsidR="00373402" w:rsidRPr="00190574">
              <w:rPr>
                <w:sz w:val="24"/>
                <w:vertAlign w:val="superscript"/>
              </w:rPr>
              <w:t>a</w:t>
            </w:r>
          </w:p>
        </w:tc>
        <w:tc>
          <w:tcPr>
            <w:tcW w:w="1260" w:type="dxa"/>
            <w:vAlign w:val="center"/>
          </w:tcPr>
          <w:p w:rsidR="00373402" w:rsidRPr="00190574" w:rsidRDefault="00E75876" w:rsidP="00373402">
            <w:pPr>
              <w:jc w:val="center"/>
              <w:rPr>
                <w:sz w:val="24"/>
              </w:rPr>
            </w:pPr>
            <w:r w:rsidRPr="00190574">
              <w:rPr>
                <w:sz w:val="24"/>
              </w:rPr>
              <w:t>4</w:t>
            </w:r>
            <w:r w:rsidR="00373402" w:rsidRPr="00190574">
              <w:rPr>
                <w:sz w:val="24"/>
                <w:vertAlign w:val="superscript"/>
              </w:rPr>
              <w:t>a</w:t>
            </w:r>
          </w:p>
        </w:tc>
        <w:tc>
          <w:tcPr>
            <w:tcW w:w="1350" w:type="dxa"/>
            <w:vAlign w:val="center"/>
          </w:tcPr>
          <w:p w:rsidR="00373402" w:rsidRPr="00190574" w:rsidRDefault="00E75876" w:rsidP="00373402">
            <w:pPr>
              <w:jc w:val="center"/>
              <w:rPr>
                <w:sz w:val="24"/>
              </w:rPr>
            </w:pPr>
            <w:r w:rsidRPr="00190574">
              <w:rPr>
                <w:sz w:val="24"/>
              </w:rPr>
              <w:t>4</w:t>
            </w:r>
            <w:r w:rsidR="00373402" w:rsidRPr="00190574">
              <w:rPr>
                <w:sz w:val="24"/>
                <w:vertAlign w:val="superscript"/>
              </w:rPr>
              <w:t>a</w:t>
            </w:r>
          </w:p>
        </w:tc>
        <w:tc>
          <w:tcPr>
            <w:tcW w:w="1620" w:type="dxa"/>
            <w:vAlign w:val="center"/>
          </w:tcPr>
          <w:p w:rsidR="00373402" w:rsidRPr="00190574" w:rsidRDefault="00373402" w:rsidP="00373402">
            <w:pPr>
              <w:pStyle w:val="Default"/>
              <w:jc w:val="center"/>
              <w:rPr>
                <w:color w:val="auto"/>
              </w:rPr>
            </w:pPr>
            <w:r w:rsidRPr="00190574">
              <w:rPr>
                <w:color w:val="auto"/>
              </w:rPr>
              <w:t>2010 MECS</w:t>
            </w:r>
          </w:p>
        </w:tc>
      </w:tr>
      <w:tr w:rsidR="00190574" w:rsidRPr="00190574" w:rsidTr="00190574">
        <w:trPr>
          <w:trHeight w:val="302"/>
          <w:jc w:val="center"/>
        </w:trPr>
        <w:tc>
          <w:tcPr>
            <w:tcW w:w="1863" w:type="dxa"/>
            <w:vAlign w:val="center"/>
          </w:tcPr>
          <w:p w:rsidR="00373402" w:rsidRPr="00190574" w:rsidRDefault="00373402" w:rsidP="00373402">
            <w:pPr>
              <w:pStyle w:val="Default"/>
              <w:rPr>
                <w:color w:val="auto"/>
              </w:rPr>
            </w:pPr>
            <w:r w:rsidRPr="00190574">
              <w:rPr>
                <w:color w:val="auto"/>
              </w:rPr>
              <w:t xml:space="preserve">Residual Oil </w:t>
            </w:r>
          </w:p>
        </w:tc>
        <w:tc>
          <w:tcPr>
            <w:tcW w:w="1314" w:type="dxa"/>
            <w:vAlign w:val="center"/>
          </w:tcPr>
          <w:p w:rsidR="00373402" w:rsidRPr="00190574" w:rsidRDefault="00E75876" w:rsidP="00373402">
            <w:pPr>
              <w:jc w:val="center"/>
              <w:rPr>
                <w:sz w:val="24"/>
              </w:rPr>
            </w:pPr>
            <w:r w:rsidRPr="00190574">
              <w:rPr>
                <w:sz w:val="24"/>
              </w:rPr>
              <w:t>5</w:t>
            </w:r>
            <w:r w:rsidR="00373402" w:rsidRPr="00190574">
              <w:rPr>
                <w:sz w:val="24"/>
                <w:vertAlign w:val="superscript"/>
              </w:rPr>
              <w:t>b</w:t>
            </w:r>
          </w:p>
        </w:tc>
        <w:tc>
          <w:tcPr>
            <w:tcW w:w="1314" w:type="dxa"/>
            <w:vAlign w:val="center"/>
          </w:tcPr>
          <w:p w:rsidR="00373402" w:rsidRPr="00190574" w:rsidRDefault="00E75876" w:rsidP="00373402">
            <w:pPr>
              <w:jc w:val="center"/>
              <w:rPr>
                <w:sz w:val="24"/>
              </w:rPr>
            </w:pPr>
            <w:r w:rsidRPr="00190574">
              <w:rPr>
                <w:sz w:val="24"/>
              </w:rPr>
              <w:t>50</w:t>
            </w:r>
          </w:p>
        </w:tc>
        <w:tc>
          <w:tcPr>
            <w:tcW w:w="1260" w:type="dxa"/>
            <w:vAlign w:val="center"/>
          </w:tcPr>
          <w:p w:rsidR="00373402" w:rsidRPr="00190574" w:rsidRDefault="00E75876" w:rsidP="00373402">
            <w:pPr>
              <w:jc w:val="center"/>
              <w:rPr>
                <w:sz w:val="24"/>
              </w:rPr>
            </w:pPr>
            <w:r w:rsidRPr="00190574">
              <w:rPr>
                <w:sz w:val="24"/>
              </w:rPr>
              <w:t>68</w:t>
            </w:r>
          </w:p>
        </w:tc>
        <w:tc>
          <w:tcPr>
            <w:tcW w:w="1350" w:type="dxa"/>
            <w:vAlign w:val="center"/>
          </w:tcPr>
          <w:p w:rsidR="00373402" w:rsidRPr="00190574" w:rsidRDefault="00E75876" w:rsidP="00373402">
            <w:pPr>
              <w:jc w:val="center"/>
              <w:rPr>
                <w:sz w:val="24"/>
              </w:rPr>
            </w:pPr>
            <w:r w:rsidRPr="00190574">
              <w:rPr>
                <w:sz w:val="24"/>
              </w:rPr>
              <w:t>20</w:t>
            </w:r>
            <w:r w:rsidR="00373402" w:rsidRPr="00190574">
              <w:rPr>
                <w:sz w:val="24"/>
                <w:vertAlign w:val="superscript"/>
              </w:rPr>
              <w:t>b</w:t>
            </w:r>
          </w:p>
        </w:tc>
        <w:tc>
          <w:tcPr>
            <w:tcW w:w="1620" w:type="dxa"/>
            <w:vAlign w:val="center"/>
          </w:tcPr>
          <w:p w:rsidR="00373402" w:rsidRPr="00190574" w:rsidRDefault="00373402" w:rsidP="00373402">
            <w:pPr>
              <w:pStyle w:val="Default"/>
              <w:jc w:val="center"/>
              <w:rPr>
                <w:color w:val="auto"/>
              </w:rPr>
            </w:pPr>
            <w:r w:rsidRPr="00190574">
              <w:rPr>
                <w:color w:val="auto"/>
              </w:rPr>
              <w:t>2010 MECS</w:t>
            </w:r>
          </w:p>
        </w:tc>
      </w:tr>
    </w:tbl>
    <w:p w:rsidR="00373402" w:rsidRPr="00190574" w:rsidRDefault="00CD2321" w:rsidP="00892559">
      <w:pPr>
        <w:pStyle w:val="Default"/>
        <w:ind w:left="720"/>
        <w:rPr>
          <w:color w:val="auto"/>
        </w:rPr>
      </w:pPr>
      <w:r w:rsidRPr="00190574">
        <w:rPr>
          <w:color w:val="auto"/>
          <w:position w:val="8"/>
          <w:vertAlign w:val="superscript"/>
        </w:rPr>
        <w:t xml:space="preserve">a </w:t>
      </w:r>
      <w:r w:rsidR="00373402" w:rsidRPr="00190574">
        <w:rPr>
          <w:color w:val="auto"/>
        </w:rPr>
        <w:t>Nonfuel use of distillate fuel oil was not reported at the regional level therefore</w:t>
      </w:r>
      <w:r w:rsidR="00190574">
        <w:rPr>
          <w:color w:val="auto"/>
        </w:rPr>
        <w:t>,</w:t>
      </w:r>
      <w:r w:rsidR="00373402" w:rsidRPr="00190574">
        <w:rPr>
          <w:color w:val="auto"/>
        </w:rPr>
        <w:t xml:space="preserve"> the default nonfuel use fractions are based on national nonfuel use of distillate fuel oil</w:t>
      </w:r>
      <w:r w:rsidRPr="00190574">
        <w:rPr>
          <w:color w:val="auto"/>
        </w:rPr>
        <w:t xml:space="preserve">. </w:t>
      </w:r>
      <w:r w:rsidR="004416B6" w:rsidRPr="00190574">
        <w:rPr>
          <w:color w:val="auto"/>
        </w:rPr>
        <w:br/>
      </w:r>
      <w:r w:rsidRPr="00190574">
        <w:rPr>
          <w:color w:val="auto"/>
          <w:position w:val="8"/>
          <w:vertAlign w:val="superscript"/>
        </w:rPr>
        <w:t xml:space="preserve">b </w:t>
      </w:r>
      <w:r w:rsidR="00373402" w:rsidRPr="00190574">
        <w:rPr>
          <w:color w:val="auto"/>
        </w:rPr>
        <w:t>Nonfuel use was reported in EIA data as "less than 0.5". In these cases a value of 0.25 was used to estimate the default nonfuel use fractions</w:t>
      </w:r>
      <w:r w:rsidRPr="00190574">
        <w:rPr>
          <w:color w:val="auto"/>
        </w:rPr>
        <w:t xml:space="preserve">. </w:t>
      </w:r>
    </w:p>
    <w:p w:rsidR="00373402" w:rsidRPr="00190574" w:rsidRDefault="00373402" w:rsidP="00892559">
      <w:pPr>
        <w:pStyle w:val="Default"/>
        <w:ind w:left="720"/>
        <w:rPr>
          <w:color w:val="auto"/>
        </w:rPr>
      </w:pPr>
    </w:p>
    <w:p w:rsidR="00D943A0" w:rsidRPr="00190574" w:rsidRDefault="006629C8" w:rsidP="00A17563">
      <w:pPr>
        <w:pStyle w:val="Heading2"/>
        <w:rPr>
          <w:rFonts w:ascii="Times New Roman" w:hAnsi="Times New Roman" w:cs="Times New Roman"/>
          <w:color w:val="auto"/>
          <w:sz w:val="28"/>
        </w:rPr>
      </w:pPr>
      <w:bookmarkStart w:id="24" w:name="_Toc484000167"/>
      <w:r w:rsidRPr="00190574">
        <w:rPr>
          <w:rFonts w:ascii="Times New Roman" w:hAnsi="Times New Roman" w:cs="Times New Roman"/>
          <w:color w:val="auto"/>
          <w:sz w:val="28"/>
        </w:rPr>
        <w:t>4</w:t>
      </w:r>
      <w:r w:rsidR="00D943A0" w:rsidRPr="00190574">
        <w:rPr>
          <w:rFonts w:ascii="Times New Roman" w:hAnsi="Times New Roman" w:cs="Times New Roman"/>
          <w:color w:val="auto"/>
          <w:sz w:val="28"/>
        </w:rPr>
        <w:t>.</w:t>
      </w:r>
      <w:r w:rsidR="00C476AF" w:rsidRPr="00190574">
        <w:rPr>
          <w:rFonts w:ascii="Times New Roman" w:hAnsi="Times New Roman" w:cs="Times New Roman"/>
          <w:color w:val="auto"/>
          <w:sz w:val="28"/>
        </w:rPr>
        <w:t>3</w:t>
      </w:r>
      <w:r w:rsidR="00D943A0" w:rsidRPr="00190574">
        <w:rPr>
          <w:rFonts w:ascii="Times New Roman" w:hAnsi="Times New Roman" w:cs="Times New Roman"/>
          <w:color w:val="auto"/>
          <w:sz w:val="28"/>
        </w:rPr>
        <w:t xml:space="preserve"> Point Source Energy Adjustment</w:t>
      </w:r>
      <w:bookmarkEnd w:id="24"/>
    </w:p>
    <w:p w:rsidR="00C476AF" w:rsidRPr="00190574" w:rsidRDefault="00C476AF" w:rsidP="00A17563">
      <w:pPr>
        <w:spacing w:after="180" w:line="264" w:lineRule="auto"/>
        <w:ind w:firstLine="0"/>
        <w:rPr>
          <w:rFonts w:ascii="Times New Roman" w:hAnsi="Times New Roman"/>
          <w:sz w:val="24"/>
        </w:rPr>
      </w:pPr>
      <w:r w:rsidRPr="00190574">
        <w:rPr>
          <w:rFonts w:ascii="Times New Roman" w:hAnsi="Times New Roman"/>
          <w:sz w:val="24"/>
        </w:rPr>
        <w:t>To ensure that fuel consumption is not double-counted in the point source inventory, it is also necessary to subtract point source inventory fuel use from the fuel consumption estimates developed from the above steps.  Equation 2 illustrates the approach to performing point source subtractions.</w:t>
      </w:r>
    </w:p>
    <w:p w:rsidR="0010313C" w:rsidRPr="00190574" w:rsidRDefault="0010313C" w:rsidP="0010313C">
      <w:pPr>
        <w:pStyle w:val="Body"/>
        <w:tabs>
          <w:tab w:val="center" w:pos="4680"/>
          <w:tab w:val="right" w:pos="9180"/>
        </w:tabs>
        <w:spacing w:after="180" w:line="264" w:lineRule="auto"/>
        <w:rPr>
          <w:szCs w:val="24"/>
          <w:lang w:val="en-US"/>
        </w:rPr>
      </w:pPr>
      <w:r w:rsidRPr="00190574">
        <w:rPr>
          <w:szCs w:val="24"/>
          <w:lang w:val="en-US"/>
        </w:rPr>
        <w:tab/>
      </w:r>
      <w:r w:rsidR="008E371B" w:rsidRPr="00190574">
        <w:rPr>
          <w:szCs w:val="24"/>
          <w:lang w:val="en-US"/>
        </w:rPr>
        <w:t xml:space="preserve"> </w:t>
      </w:r>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T</m:t>
            </m:r>
          </m:e>
          <m:sub>
            <m:r>
              <w:rPr>
                <w:rFonts w:ascii="Cambria Math" w:hAnsi="Cambria Math"/>
                <w:szCs w:val="24"/>
                <w:lang w:val="en-US"/>
              </w:rPr>
              <m:t>s,f</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P</m:t>
            </m:r>
          </m:e>
          <m:sub>
            <m:r>
              <w:rPr>
                <w:rFonts w:ascii="Cambria Math" w:hAnsi="Cambria Math"/>
                <w:szCs w:val="24"/>
                <w:lang w:val="en-US"/>
              </w:rPr>
              <m:t>s,f</m:t>
            </m:r>
          </m:sub>
        </m:sSub>
      </m:oMath>
      <w:r w:rsidRPr="00190574">
        <w:rPr>
          <w:szCs w:val="24"/>
          <w:lang w:val="en-US"/>
        </w:rPr>
        <w:tab/>
        <w:t>(2)</w:t>
      </w:r>
    </w:p>
    <w:p w:rsidR="00C476AF" w:rsidRPr="00190574" w:rsidRDefault="00EB70D0" w:rsidP="00A17563">
      <w:pPr>
        <w:pStyle w:val="Body"/>
        <w:tabs>
          <w:tab w:val="left" w:pos="720"/>
          <w:tab w:val="left" w:pos="2160"/>
          <w:tab w:val="left" w:pos="2790"/>
          <w:tab w:val="left" w:pos="3150"/>
          <w:tab w:val="left" w:pos="3240"/>
        </w:tabs>
        <w:spacing w:after="180" w:line="264" w:lineRule="auto"/>
        <w:rPr>
          <w:szCs w:val="24"/>
          <w:lang w:val="en-US"/>
        </w:rPr>
      </w:pPr>
      <w:r w:rsidRPr="00190574">
        <w:rPr>
          <w:szCs w:val="24"/>
          <w:lang w:val="en-US"/>
        </w:rPr>
        <w:t xml:space="preserve">where </w:t>
      </w:r>
      <w:r w:rsidR="00C476AF" w:rsidRPr="00190574">
        <w:rPr>
          <w:szCs w:val="24"/>
          <w:lang w:val="en-US"/>
        </w:rPr>
        <w:t>N</w:t>
      </w:r>
      <w:r w:rsidRPr="00190574">
        <w:rPr>
          <w:szCs w:val="24"/>
          <w:lang w:val="en-US"/>
        </w:rPr>
        <w:t xml:space="preserve"> is n</w:t>
      </w:r>
      <w:r w:rsidR="00C476AF" w:rsidRPr="00190574">
        <w:rPr>
          <w:szCs w:val="24"/>
          <w:lang w:val="en-US"/>
        </w:rPr>
        <w:t>onpoint fuel consumption</w:t>
      </w:r>
      <w:r w:rsidRPr="00190574">
        <w:rPr>
          <w:szCs w:val="24"/>
          <w:lang w:val="en-US"/>
        </w:rPr>
        <w:t xml:space="preserve">, </w:t>
      </w:r>
      <w:r w:rsidR="00C476AF" w:rsidRPr="00190574">
        <w:rPr>
          <w:szCs w:val="24"/>
          <w:lang w:val="en-US"/>
        </w:rPr>
        <w:t>T</w:t>
      </w:r>
      <w:r w:rsidR="00416E68" w:rsidRPr="00190574">
        <w:rPr>
          <w:szCs w:val="24"/>
          <w:lang w:val="en-US"/>
        </w:rPr>
        <w:t xml:space="preserve"> </w:t>
      </w:r>
      <w:r w:rsidRPr="00190574">
        <w:rPr>
          <w:szCs w:val="24"/>
          <w:lang w:val="en-US"/>
        </w:rPr>
        <w:t>is t</w:t>
      </w:r>
      <w:r w:rsidR="00C476AF" w:rsidRPr="00190574">
        <w:rPr>
          <w:szCs w:val="24"/>
          <w:lang w:val="en-US"/>
        </w:rPr>
        <w:t>otal fuel consumption</w:t>
      </w:r>
      <w:r w:rsidRPr="00190574">
        <w:rPr>
          <w:szCs w:val="24"/>
          <w:lang w:val="en-US"/>
        </w:rPr>
        <w:t xml:space="preserve">, </w:t>
      </w:r>
      <w:r w:rsidR="00C476AF" w:rsidRPr="00190574">
        <w:rPr>
          <w:szCs w:val="24"/>
          <w:lang w:val="en-US"/>
        </w:rPr>
        <w:t>P</w:t>
      </w:r>
      <w:r w:rsidRPr="00190574">
        <w:rPr>
          <w:szCs w:val="24"/>
          <w:lang w:val="en-US"/>
        </w:rPr>
        <w:t xml:space="preserve"> is p</w:t>
      </w:r>
      <w:r w:rsidR="00C476AF" w:rsidRPr="00190574">
        <w:rPr>
          <w:szCs w:val="24"/>
          <w:lang w:val="en-US"/>
        </w:rPr>
        <w:t>oint source fuel consumption</w:t>
      </w:r>
      <w:r w:rsidRPr="00190574">
        <w:rPr>
          <w:szCs w:val="24"/>
          <w:lang w:val="en-US"/>
        </w:rPr>
        <w:t xml:space="preserve">, s is </w:t>
      </w:r>
      <w:r w:rsidR="00C476AF" w:rsidRPr="00190574">
        <w:rPr>
          <w:szCs w:val="24"/>
          <w:lang w:val="en-US"/>
        </w:rPr>
        <w:t>sector</w:t>
      </w:r>
      <w:r w:rsidRPr="00190574">
        <w:rPr>
          <w:szCs w:val="24"/>
          <w:lang w:val="en-US"/>
        </w:rPr>
        <w:t xml:space="preserve">, and </w:t>
      </w:r>
      <w:r w:rsidR="00C476AF" w:rsidRPr="00190574">
        <w:rPr>
          <w:szCs w:val="24"/>
          <w:lang w:val="en-US"/>
        </w:rPr>
        <w:t>f</w:t>
      </w:r>
      <w:r w:rsidR="00A17563" w:rsidRPr="00190574">
        <w:rPr>
          <w:szCs w:val="24"/>
          <w:lang w:val="en-US"/>
        </w:rPr>
        <w:t xml:space="preserve"> </w:t>
      </w:r>
      <w:r w:rsidRPr="00190574">
        <w:rPr>
          <w:szCs w:val="24"/>
          <w:lang w:val="en-US"/>
        </w:rPr>
        <w:t xml:space="preserve">is </w:t>
      </w:r>
      <w:r w:rsidR="00C476AF" w:rsidRPr="00190574">
        <w:rPr>
          <w:szCs w:val="24"/>
          <w:lang w:val="en-US"/>
        </w:rPr>
        <w:t>fuel type</w:t>
      </w:r>
      <w:r w:rsidRPr="00190574">
        <w:rPr>
          <w:szCs w:val="24"/>
          <w:lang w:val="en-US"/>
        </w:rPr>
        <w:t>.</w:t>
      </w:r>
    </w:p>
    <w:p w:rsidR="001C000E" w:rsidRPr="00190574" w:rsidRDefault="00C476AF" w:rsidP="008E371B">
      <w:pPr>
        <w:spacing w:after="180" w:line="264" w:lineRule="auto"/>
        <w:ind w:firstLine="0"/>
        <w:rPr>
          <w:rFonts w:ascii="Times New Roman" w:hAnsi="Times New Roman"/>
          <w:sz w:val="24"/>
        </w:rPr>
      </w:pPr>
      <w:r w:rsidRPr="00190574">
        <w:rPr>
          <w:rFonts w:ascii="Times New Roman" w:hAnsi="Times New Roman"/>
          <w:sz w:val="24"/>
        </w:rPr>
        <w:t xml:space="preserve">The first step in the point source subtraction procedure is to identify how each ICI combustion nonpoint source classification code (SCC) links to associated ICI combustion point SCCs.  </w:t>
      </w:r>
      <w:r w:rsidR="005B1853" w:rsidRPr="00190574">
        <w:rPr>
          <w:rFonts w:ascii="Times New Roman" w:hAnsi="Times New Roman"/>
          <w:sz w:val="24"/>
        </w:rPr>
        <w:t>The ICI Combustion Tool includes</w:t>
      </w:r>
      <w:r w:rsidRPr="00190574">
        <w:rPr>
          <w:rFonts w:ascii="Times New Roman" w:hAnsi="Times New Roman"/>
          <w:sz w:val="24"/>
        </w:rPr>
        <w:t xml:space="preserve"> two such crosswalks:  one between each Industrial fuel combustion nonpoint SCC and related point SCCs, and an analogous crosswalk developed for Commercial/Institutional fuel combustion SCCs.  One issue to note is that natural gas consumed as pipeline fuel is not included by the SEDS within the Industrial sector.  Therefore, it is necessary to exclude pipeline natural gas consumption in performing natural gas combustion subtraction.  This consumption may be included within industrial sector natural gas internal combustion engine records (SCC 202002xx).</w:t>
      </w:r>
    </w:p>
    <w:p w:rsidR="00D943A0" w:rsidRPr="00190574" w:rsidRDefault="00C476AF" w:rsidP="008E371B">
      <w:pPr>
        <w:pStyle w:val="Body"/>
        <w:spacing w:after="180" w:line="264" w:lineRule="auto"/>
        <w:rPr>
          <w:szCs w:val="24"/>
          <w:lang w:val="en-US"/>
        </w:rPr>
      </w:pPr>
      <w:r w:rsidRPr="00190574">
        <w:rPr>
          <w:szCs w:val="24"/>
          <w:lang w:val="en-US"/>
        </w:rPr>
        <w:t xml:space="preserve">An issue that must be considered is the geographic resolution at which point source subtractions should be performed.  While the locations of point sources is accurately known at (and below) the county-level, total ICI combustion activity is much less clear.  Because of the level of uncertainty associated with the county distribution of total ICI fuel consumption, </w:t>
      </w:r>
      <w:r w:rsidR="00892559" w:rsidRPr="00190574">
        <w:rPr>
          <w:szCs w:val="24"/>
          <w:lang w:val="en-US"/>
        </w:rPr>
        <w:t>states may wish</w:t>
      </w:r>
      <w:r w:rsidRPr="00190574">
        <w:rPr>
          <w:szCs w:val="24"/>
          <w:lang w:val="en-US"/>
        </w:rPr>
        <w:t xml:space="preserve"> to perform the ICI combustion point source subtractions at the state-level, and then allocate the resulting nonpoint source fuel consumption to counties.</w:t>
      </w:r>
      <w:r w:rsidR="00892559" w:rsidRPr="00190574">
        <w:rPr>
          <w:szCs w:val="24"/>
          <w:lang w:val="en-US"/>
        </w:rPr>
        <w:t xml:space="preserve"> On the contrary, if states have more accurate county-level fuel consumption values then point source subtraction can be performed at the county-level. The ICI Tool is designed to prioritize county-level data over state-level data, so where county-level data exists, the </w:t>
      </w:r>
      <w:r w:rsidR="00827282" w:rsidRPr="00190574">
        <w:rPr>
          <w:szCs w:val="24"/>
          <w:lang w:val="en-US"/>
        </w:rPr>
        <w:t xml:space="preserve">ICI </w:t>
      </w:r>
      <w:r w:rsidR="00892559" w:rsidRPr="00190574">
        <w:rPr>
          <w:szCs w:val="24"/>
          <w:lang w:val="en-US"/>
        </w:rPr>
        <w:t>Tool will perform county-level subtractions before using state-level data.</w:t>
      </w:r>
    </w:p>
    <w:p w:rsidR="00947CD4" w:rsidRPr="00190574" w:rsidRDefault="00947CD4" w:rsidP="008E371B">
      <w:pPr>
        <w:pStyle w:val="Body"/>
        <w:spacing w:after="180" w:line="264" w:lineRule="auto"/>
        <w:rPr>
          <w:szCs w:val="24"/>
          <w:lang w:val="en-US"/>
        </w:rPr>
      </w:pPr>
      <w:r w:rsidRPr="00190574">
        <w:rPr>
          <w:szCs w:val="24"/>
        </w:rPr>
        <w:lastRenderedPageBreak/>
        <w:t xml:space="preserve">If an agency </w:t>
      </w:r>
      <w:r w:rsidRPr="00190574">
        <w:rPr>
          <w:szCs w:val="24"/>
          <w:lang w:val="en-US"/>
        </w:rPr>
        <w:t xml:space="preserve">does not have </w:t>
      </w:r>
      <w:r w:rsidRPr="00190574">
        <w:rPr>
          <w:szCs w:val="24"/>
        </w:rPr>
        <w:t xml:space="preserve">county- or state-level point source </w:t>
      </w:r>
      <w:r w:rsidRPr="00190574">
        <w:rPr>
          <w:szCs w:val="24"/>
          <w:lang w:val="en-US"/>
        </w:rPr>
        <w:t>activity</w:t>
      </w:r>
      <w:r w:rsidRPr="00190574">
        <w:rPr>
          <w:i/>
          <w:szCs w:val="24"/>
          <w:lang w:val="en-US"/>
        </w:rPr>
        <w:t xml:space="preserve"> </w:t>
      </w:r>
      <w:r w:rsidRPr="00190574">
        <w:rPr>
          <w:szCs w:val="24"/>
        </w:rPr>
        <w:t xml:space="preserve">data, </w:t>
      </w:r>
      <w:r w:rsidRPr="00190574">
        <w:rPr>
          <w:szCs w:val="24"/>
          <w:lang w:val="en-US"/>
        </w:rPr>
        <w:t xml:space="preserve">emissions data </w:t>
      </w:r>
      <w:r w:rsidRPr="00190574">
        <w:rPr>
          <w:szCs w:val="24"/>
        </w:rPr>
        <w:t xml:space="preserve">can be used in the place of </w:t>
      </w:r>
      <w:r w:rsidRPr="00190574">
        <w:rPr>
          <w:szCs w:val="24"/>
          <w:lang w:val="en-US"/>
        </w:rPr>
        <w:t xml:space="preserve">activity </w:t>
      </w:r>
      <w:r w:rsidRPr="00190574">
        <w:rPr>
          <w:szCs w:val="24"/>
        </w:rPr>
        <w:t xml:space="preserve">data in the point source subtraction procedure. The procedure follows the same steps, except that the </w:t>
      </w:r>
      <w:r w:rsidRPr="00190574">
        <w:rPr>
          <w:szCs w:val="24"/>
          <w:lang w:val="en-US"/>
        </w:rPr>
        <w:t xml:space="preserve">emissions are calculated first, and then the </w:t>
      </w:r>
      <w:r w:rsidRPr="00190574">
        <w:rPr>
          <w:szCs w:val="24"/>
        </w:rPr>
        <w:t xml:space="preserve">point source </w:t>
      </w:r>
      <w:r w:rsidRPr="00190574">
        <w:rPr>
          <w:szCs w:val="24"/>
          <w:lang w:val="en-US"/>
        </w:rPr>
        <w:t xml:space="preserve">activity </w:t>
      </w:r>
      <w:r w:rsidRPr="00190574">
        <w:rPr>
          <w:szCs w:val="24"/>
        </w:rPr>
        <w:t>data are subtracted from the total emissions.</w:t>
      </w:r>
    </w:p>
    <w:p w:rsidR="001C000E" w:rsidRPr="00190574" w:rsidRDefault="008E371B" w:rsidP="008E371B">
      <w:pPr>
        <w:pStyle w:val="Heading1ES"/>
        <w:rPr>
          <w:rFonts w:ascii="Times New Roman" w:hAnsi="Times New Roman"/>
          <w:color w:val="auto"/>
          <w:szCs w:val="28"/>
        </w:rPr>
      </w:pPr>
      <w:bookmarkStart w:id="25" w:name="_Toc484000168"/>
      <w:r w:rsidRPr="00190574">
        <w:rPr>
          <w:rFonts w:ascii="Times New Roman" w:hAnsi="Times New Roman"/>
          <w:color w:val="auto"/>
          <w:szCs w:val="28"/>
        </w:rPr>
        <w:lastRenderedPageBreak/>
        <w:t>5</w:t>
      </w:r>
      <w:r w:rsidR="001C000E" w:rsidRPr="00190574">
        <w:rPr>
          <w:rFonts w:ascii="Times New Roman" w:hAnsi="Times New Roman"/>
          <w:color w:val="auto"/>
          <w:szCs w:val="28"/>
        </w:rPr>
        <w:t xml:space="preserve">. </w:t>
      </w:r>
      <w:r w:rsidRPr="00190574">
        <w:rPr>
          <w:rFonts w:ascii="Times New Roman" w:hAnsi="Times New Roman"/>
          <w:color w:val="auto"/>
          <w:szCs w:val="28"/>
        </w:rPr>
        <w:t>County Allocation of State</w:t>
      </w:r>
      <w:r w:rsidR="00166501" w:rsidRPr="00190574">
        <w:rPr>
          <w:rFonts w:ascii="Times New Roman" w:hAnsi="Times New Roman"/>
          <w:color w:val="auto"/>
          <w:szCs w:val="28"/>
        </w:rPr>
        <w:t xml:space="preserve"> A</w:t>
      </w:r>
      <w:r w:rsidRPr="00190574">
        <w:rPr>
          <w:rFonts w:ascii="Times New Roman" w:hAnsi="Times New Roman"/>
          <w:color w:val="auto"/>
          <w:szCs w:val="28"/>
        </w:rPr>
        <w:t>ctivity</w:t>
      </w:r>
      <w:bookmarkEnd w:id="25"/>
    </w:p>
    <w:p w:rsidR="00E36155" w:rsidRPr="00190574" w:rsidRDefault="00E36155" w:rsidP="008E371B">
      <w:pPr>
        <w:spacing w:after="180" w:line="264" w:lineRule="auto"/>
        <w:ind w:firstLine="0"/>
        <w:rPr>
          <w:rFonts w:ascii="Times New Roman" w:hAnsi="Times New Roman"/>
          <w:sz w:val="24"/>
        </w:rPr>
      </w:pPr>
      <w:r w:rsidRPr="00190574">
        <w:rPr>
          <w:rFonts w:ascii="Times New Roman" w:hAnsi="Times New Roman"/>
          <w:sz w:val="24"/>
        </w:rPr>
        <w:t>Because the EIA only reports energy consumption down to the state-level, it is necessary to develop a procedure to allocate EIA’s fuel consumption estimates (after adjustments noted in sections above) to counties.  For the NEI, the procedure relies on the use of allocation factors developed from the county-level number of employees in the Industrial sector and the county number of employees in the Commercial/Institutional sector.  Because EIA fuel consumption data originate from fuel sector-specific surveys of energy suppliers,</w:t>
      </w:r>
      <w:r w:rsidRPr="00190574">
        <w:rPr>
          <w:rStyle w:val="FootnoteReference"/>
          <w:rFonts w:ascii="Times New Roman" w:hAnsi="Times New Roman"/>
          <w:sz w:val="24"/>
        </w:rPr>
        <w:footnoteReference w:id="1"/>
      </w:r>
      <w:r w:rsidRPr="00190574">
        <w:rPr>
          <w:rFonts w:ascii="Times New Roman" w:hAnsi="Times New Roman"/>
          <w:sz w:val="24"/>
        </w:rPr>
        <w:t xml:space="preserve"> we reviewed these survey forms/instructions for further details on what individual economic sectors EIA considers </w:t>
      </w:r>
      <w:proofErr w:type="gramStart"/>
      <w:r w:rsidRPr="00190574">
        <w:rPr>
          <w:rFonts w:ascii="Times New Roman" w:hAnsi="Times New Roman"/>
          <w:sz w:val="24"/>
        </w:rPr>
        <w:t>to comprise</w:t>
      </w:r>
      <w:proofErr w:type="gramEnd"/>
      <w:r w:rsidRPr="00190574">
        <w:rPr>
          <w:rFonts w:ascii="Times New Roman" w:hAnsi="Times New Roman"/>
          <w:sz w:val="24"/>
        </w:rPr>
        <w:t xml:space="preserve"> the Industrial and Commercial sector.  Based on this review, we compiled employment data for manufacturing sector North American Industrial Classification System (NAICS) codes (i.e., NAICS 31-33) for use in allocating Industrial fuel combustion.  The only source of NAICS-code based EIA definitions of the Commercial energy sector is a “rough crosswalk” between Commercial building types and NAICS codes developed for EIA’s CBECS (</w:t>
      </w:r>
      <w:r w:rsidR="00222FC2" w:rsidRPr="00190574">
        <w:rPr>
          <w:rFonts w:ascii="Times New Roman" w:hAnsi="Times New Roman"/>
          <w:sz w:val="24"/>
        </w:rPr>
        <w:t>EIA, 2013c</w:t>
      </w:r>
      <w:r w:rsidRPr="00190574">
        <w:rPr>
          <w:rFonts w:ascii="Times New Roman" w:hAnsi="Times New Roman"/>
          <w:sz w:val="24"/>
        </w:rPr>
        <w:t xml:space="preserve">).  With the exception of NAICS code 814 (Private Households), this crosswalk links all NAICS codes between 42 and 92 with Commercial building energy consumption.  </w:t>
      </w:r>
    </w:p>
    <w:p w:rsidR="001C000E" w:rsidRPr="00190574" w:rsidRDefault="005B1853" w:rsidP="008E371B">
      <w:pPr>
        <w:spacing w:after="180" w:line="264" w:lineRule="auto"/>
        <w:ind w:firstLine="0"/>
        <w:rPr>
          <w:rFonts w:ascii="Times New Roman" w:hAnsi="Times New Roman"/>
          <w:sz w:val="24"/>
        </w:rPr>
      </w:pPr>
      <w:r w:rsidRPr="00190574">
        <w:rPr>
          <w:rFonts w:ascii="Times New Roman" w:hAnsi="Times New Roman"/>
          <w:sz w:val="24"/>
        </w:rPr>
        <w:t>The ICI Combustion Tool</w:t>
      </w:r>
      <w:r w:rsidR="00E36155" w:rsidRPr="00190574">
        <w:rPr>
          <w:rFonts w:ascii="Times New Roman" w:hAnsi="Times New Roman"/>
          <w:sz w:val="24"/>
        </w:rPr>
        <w:t xml:space="preserve"> compile</w:t>
      </w:r>
      <w:r w:rsidRPr="00190574">
        <w:rPr>
          <w:rFonts w:ascii="Times New Roman" w:hAnsi="Times New Roman"/>
          <w:sz w:val="24"/>
        </w:rPr>
        <w:t>s</w:t>
      </w:r>
      <w:r w:rsidR="00E36155" w:rsidRPr="00190574">
        <w:rPr>
          <w:rFonts w:ascii="Times New Roman" w:hAnsi="Times New Roman"/>
          <w:sz w:val="24"/>
        </w:rPr>
        <w:t xml:space="preserve"> employment data for these NAICS codes from two Bureau of the Census publications  ̶  </w:t>
      </w:r>
      <w:r w:rsidR="00E36155" w:rsidRPr="00190574">
        <w:rPr>
          <w:rFonts w:ascii="Times New Roman" w:hAnsi="Times New Roman"/>
          <w:i/>
          <w:sz w:val="24"/>
        </w:rPr>
        <w:t>County Business Patterns</w:t>
      </w:r>
      <w:r w:rsidR="00E36155" w:rsidRPr="00190574">
        <w:rPr>
          <w:rFonts w:ascii="Times New Roman" w:hAnsi="Times New Roman"/>
          <w:sz w:val="24"/>
        </w:rPr>
        <w:t xml:space="preserve"> (for private sectors) and </w:t>
      </w:r>
      <w:r w:rsidR="00E36155" w:rsidRPr="00190574">
        <w:rPr>
          <w:rFonts w:ascii="Times New Roman" w:hAnsi="Times New Roman"/>
          <w:i/>
          <w:sz w:val="24"/>
        </w:rPr>
        <w:t>Census of Governments</w:t>
      </w:r>
      <w:r w:rsidR="00E36155" w:rsidRPr="00190574">
        <w:rPr>
          <w:rFonts w:ascii="Times New Roman" w:hAnsi="Times New Roman"/>
          <w:sz w:val="24"/>
        </w:rPr>
        <w:t xml:space="preserve"> (for public administration sectors) (</w:t>
      </w:r>
      <w:r w:rsidR="009034FD" w:rsidRPr="00190574">
        <w:rPr>
          <w:rFonts w:ascii="Times New Roman" w:hAnsi="Times New Roman"/>
          <w:sz w:val="24"/>
        </w:rPr>
        <w:t xml:space="preserve">Bureau of the Census, </w:t>
      </w:r>
      <w:r w:rsidR="00222FC2" w:rsidRPr="00190574">
        <w:rPr>
          <w:rFonts w:ascii="Times New Roman" w:hAnsi="Times New Roman"/>
          <w:sz w:val="24"/>
        </w:rPr>
        <w:t>2015a</w:t>
      </w:r>
      <w:r w:rsidR="009034FD" w:rsidRPr="00190574">
        <w:rPr>
          <w:rFonts w:ascii="Times New Roman" w:hAnsi="Times New Roman"/>
          <w:sz w:val="24"/>
        </w:rPr>
        <w:t xml:space="preserve">; Bureau of the Census, </w:t>
      </w:r>
      <w:r w:rsidR="00222FC2" w:rsidRPr="00190574">
        <w:rPr>
          <w:rFonts w:ascii="Times New Roman" w:hAnsi="Times New Roman"/>
          <w:sz w:val="24"/>
        </w:rPr>
        <w:t>2015b</w:t>
      </w:r>
      <w:r w:rsidR="00E36155" w:rsidRPr="00190574">
        <w:rPr>
          <w:rFonts w:ascii="Times New Roman" w:hAnsi="Times New Roman"/>
          <w:sz w:val="24"/>
        </w:rPr>
        <w:t xml:space="preserve">).  For NAICS code 92, county-level employment </w:t>
      </w:r>
      <w:r w:rsidRPr="00190574">
        <w:rPr>
          <w:rFonts w:ascii="Times New Roman" w:hAnsi="Times New Roman"/>
          <w:sz w:val="24"/>
        </w:rPr>
        <w:t xml:space="preserve">is estimated </w:t>
      </w:r>
      <w:r w:rsidR="00E36155" w:rsidRPr="00190574">
        <w:rPr>
          <w:rFonts w:ascii="Times New Roman" w:hAnsi="Times New Roman"/>
          <w:sz w:val="24"/>
        </w:rPr>
        <w:t xml:space="preserve">from local government employment data in the </w:t>
      </w:r>
      <w:r w:rsidR="00E36155" w:rsidRPr="00190574">
        <w:rPr>
          <w:rFonts w:ascii="Times New Roman" w:hAnsi="Times New Roman"/>
          <w:i/>
          <w:sz w:val="24"/>
        </w:rPr>
        <w:t>Census of Governments</w:t>
      </w:r>
      <w:r w:rsidR="00E36155" w:rsidRPr="00190574">
        <w:rPr>
          <w:rFonts w:ascii="Times New Roman" w:hAnsi="Times New Roman"/>
          <w:sz w:val="24"/>
        </w:rPr>
        <w:t>.</w:t>
      </w:r>
      <w:r w:rsidR="00E36155" w:rsidRPr="00190574">
        <w:rPr>
          <w:rStyle w:val="FootnoteReference"/>
          <w:rFonts w:ascii="Times New Roman" w:hAnsi="Times New Roman"/>
          <w:sz w:val="24"/>
        </w:rPr>
        <w:footnoteReference w:id="2"/>
      </w:r>
      <w:r w:rsidR="00E36155" w:rsidRPr="00190574">
        <w:rPr>
          <w:rFonts w:ascii="Times New Roman" w:hAnsi="Times New Roman"/>
          <w:sz w:val="24"/>
        </w:rPr>
        <w:t xml:space="preserve">  Employment estimates from each source </w:t>
      </w:r>
      <w:r w:rsidRPr="00190574">
        <w:rPr>
          <w:rFonts w:ascii="Times New Roman" w:hAnsi="Times New Roman"/>
          <w:sz w:val="24"/>
        </w:rPr>
        <w:t>are</w:t>
      </w:r>
      <w:r w:rsidR="00E36155" w:rsidRPr="00190574">
        <w:rPr>
          <w:rFonts w:ascii="Times New Roman" w:hAnsi="Times New Roman"/>
          <w:sz w:val="24"/>
        </w:rPr>
        <w:t xml:space="preserve"> then combined to estimate total Commercial/</w:t>
      </w:r>
      <w:r w:rsidRPr="00190574">
        <w:rPr>
          <w:rFonts w:ascii="Times New Roman" w:hAnsi="Times New Roman"/>
          <w:sz w:val="24"/>
        </w:rPr>
        <w:t xml:space="preserve"> </w:t>
      </w:r>
      <w:r w:rsidR="00E36155" w:rsidRPr="00190574">
        <w:rPr>
          <w:rFonts w:ascii="Times New Roman" w:hAnsi="Times New Roman"/>
          <w:sz w:val="24"/>
        </w:rPr>
        <w:t xml:space="preserve">Institutional sector employment by county.  </w:t>
      </w:r>
      <w:r w:rsidRPr="00190574">
        <w:rPr>
          <w:rFonts w:ascii="Times New Roman" w:hAnsi="Times New Roman"/>
          <w:sz w:val="24"/>
        </w:rPr>
        <w:t>T</w:t>
      </w:r>
      <w:r w:rsidR="00E36155" w:rsidRPr="00190574">
        <w:rPr>
          <w:rFonts w:ascii="Times New Roman" w:hAnsi="Times New Roman"/>
          <w:sz w:val="24"/>
        </w:rPr>
        <w:t xml:space="preserve">he state-level fuel combustion by fuel type estimates in each sector </w:t>
      </w:r>
      <w:r w:rsidRPr="00190574">
        <w:rPr>
          <w:rFonts w:ascii="Times New Roman" w:hAnsi="Times New Roman"/>
          <w:sz w:val="24"/>
        </w:rPr>
        <w:t xml:space="preserve">are then allocated </w:t>
      </w:r>
      <w:r w:rsidR="00E36155" w:rsidRPr="00190574">
        <w:rPr>
          <w:rFonts w:ascii="Times New Roman" w:hAnsi="Times New Roman"/>
          <w:sz w:val="24"/>
        </w:rPr>
        <w:t>to each county using the ratio of the number of Industrial or Commercial/Institutional employees in each county in a given state.</w:t>
      </w:r>
    </w:p>
    <w:p w:rsidR="00F346E7" w:rsidRPr="00190574" w:rsidRDefault="00F346E7" w:rsidP="00F346E7">
      <w:pPr>
        <w:spacing w:after="180" w:line="264" w:lineRule="auto"/>
        <w:ind w:firstLine="0"/>
        <w:rPr>
          <w:rFonts w:ascii="Times New Roman" w:hAnsi="Times New Roman"/>
          <w:sz w:val="24"/>
        </w:rPr>
      </w:pPr>
      <w:r w:rsidRPr="00190574">
        <w:rPr>
          <w:rFonts w:ascii="Times New Roman" w:hAnsi="Times New Roman"/>
          <w:sz w:val="24"/>
        </w:rPr>
        <w:t xml:space="preserve">Due to concerns with releasing confidential business information, County Business Patterns (CBP) withholds values for a given county/NAICS code if it would be possible to identify data for individual facilities. In such cases, the Census reports a letter code, representing a particular employment size range. We used the following procedure to estimate data for withheld counties/NAICS codes. </w:t>
      </w:r>
    </w:p>
    <w:p w:rsidR="00F346E7" w:rsidRPr="00190574" w:rsidRDefault="00F346E7" w:rsidP="00F346E7">
      <w:pPr>
        <w:pStyle w:val="Default"/>
        <w:numPr>
          <w:ilvl w:val="0"/>
          <w:numId w:val="35"/>
        </w:numPr>
        <w:rPr>
          <w:color w:val="auto"/>
        </w:rPr>
      </w:pPr>
      <w:r w:rsidRPr="00190574">
        <w:rPr>
          <w:color w:val="auto"/>
        </w:rPr>
        <w:t xml:space="preserve">County-level employment for counties with reported values are totaled by state for the applicable NAICS code. </w:t>
      </w:r>
    </w:p>
    <w:p w:rsidR="00F346E7" w:rsidRPr="00190574" w:rsidRDefault="00F346E7" w:rsidP="00F346E7">
      <w:pPr>
        <w:pStyle w:val="Default"/>
        <w:numPr>
          <w:ilvl w:val="0"/>
          <w:numId w:val="35"/>
        </w:numPr>
        <w:rPr>
          <w:color w:val="auto"/>
        </w:rPr>
      </w:pPr>
      <w:r w:rsidRPr="00190574">
        <w:rPr>
          <w:color w:val="auto"/>
        </w:rPr>
        <w:t>The value from step 1 is subtracted from the state employment value for the NAICS code.</w:t>
      </w:r>
    </w:p>
    <w:p w:rsidR="00F346E7" w:rsidRPr="00190574" w:rsidRDefault="00F346E7" w:rsidP="00F346E7">
      <w:pPr>
        <w:pStyle w:val="Default"/>
        <w:numPr>
          <w:ilvl w:val="0"/>
          <w:numId w:val="35"/>
        </w:numPr>
        <w:rPr>
          <w:color w:val="auto"/>
        </w:rPr>
      </w:pPr>
      <w:r w:rsidRPr="00190574">
        <w:rPr>
          <w:color w:val="auto"/>
        </w:rPr>
        <w:t xml:space="preserve">Each of the withheld counties is assigned an initial employment estimate reflecting the midpoint of the CBP range code (e.g., code A, which reflects 1-19 employees, is assigned an estimate of 10 employees). </w:t>
      </w:r>
    </w:p>
    <w:p w:rsidR="00F346E7" w:rsidRPr="00190574" w:rsidRDefault="00F346E7" w:rsidP="00F346E7">
      <w:pPr>
        <w:pStyle w:val="Default"/>
        <w:numPr>
          <w:ilvl w:val="0"/>
          <w:numId w:val="35"/>
        </w:numPr>
        <w:rPr>
          <w:color w:val="auto"/>
        </w:rPr>
      </w:pPr>
      <w:r w:rsidRPr="00190574">
        <w:rPr>
          <w:color w:val="auto"/>
        </w:rPr>
        <w:t xml:space="preserve">The initial employment estimates from step 3 are then summed to the state level. </w:t>
      </w:r>
    </w:p>
    <w:p w:rsidR="00F346E7" w:rsidRPr="00190574" w:rsidRDefault="00F346E7" w:rsidP="00F346E7">
      <w:pPr>
        <w:pStyle w:val="Default"/>
        <w:numPr>
          <w:ilvl w:val="0"/>
          <w:numId w:val="35"/>
        </w:numPr>
        <w:rPr>
          <w:color w:val="auto"/>
        </w:rPr>
      </w:pPr>
      <w:r w:rsidRPr="00190574">
        <w:rPr>
          <w:color w:val="auto"/>
        </w:rPr>
        <w:lastRenderedPageBreak/>
        <w:t xml:space="preserve">The value from step 2 is divided by the value from step 4 to yield an adjustment factor to apply to the initial employment estimates to yield employment values that will sum to the state employment total for the applicable NAICS code. </w:t>
      </w:r>
    </w:p>
    <w:p w:rsidR="00F346E7" w:rsidRPr="00190574" w:rsidRDefault="00F346E7" w:rsidP="00712B9B">
      <w:pPr>
        <w:pStyle w:val="Default"/>
        <w:numPr>
          <w:ilvl w:val="0"/>
          <w:numId w:val="35"/>
        </w:numPr>
        <w:spacing w:after="240"/>
        <w:rPr>
          <w:color w:val="auto"/>
        </w:rPr>
      </w:pPr>
      <w:r w:rsidRPr="00190574">
        <w:rPr>
          <w:color w:val="auto"/>
        </w:rPr>
        <w:t xml:space="preserve">The final county-level employment values are estimated by multiplying the initial employment estimates from step 3 by the step 5 adjustment factors. </w:t>
      </w:r>
    </w:p>
    <w:p w:rsidR="00F346E7" w:rsidRPr="00190574" w:rsidRDefault="00F346E7" w:rsidP="00F346E7">
      <w:pPr>
        <w:spacing w:after="180" w:line="264" w:lineRule="auto"/>
        <w:ind w:firstLine="0"/>
        <w:rPr>
          <w:rFonts w:ascii="Times New Roman" w:hAnsi="Times New Roman"/>
          <w:sz w:val="24"/>
        </w:rPr>
      </w:pPr>
      <w:r w:rsidRPr="00190574">
        <w:rPr>
          <w:rFonts w:ascii="Times New Roman" w:hAnsi="Times New Roman"/>
          <w:sz w:val="24"/>
        </w:rPr>
        <w:fldChar w:fldCharType="begin"/>
      </w:r>
      <w:r w:rsidRPr="00190574">
        <w:rPr>
          <w:rFonts w:ascii="Times New Roman" w:hAnsi="Times New Roman"/>
          <w:sz w:val="24"/>
        </w:rPr>
        <w:instrText xml:space="preserve"> REF _Ref416179659 \h </w:instrText>
      </w:r>
      <w:r w:rsidRPr="00190574">
        <w:rPr>
          <w:rFonts w:ascii="Times New Roman" w:hAnsi="Times New Roman"/>
          <w:sz w:val="24"/>
        </w:rPr>
      </w:r>
      <w:r w:rsidR="00190574" w:rsidRPr="00190574">
        <w:rPr>
          <w:rFonts w:ascii="Times New Roman" w:hAnsi="Times New Roman"/>
          <w:sz w:val="24"/>
        </w:rPr>
        <w:instrText xml:space="preserve"> \* MERGEFORMAT </w:instrText>
      </w:r>
      <w:r w:rsidRPr="00190574">
        <w:rPr>
          <w:rFonts w:ascii="Times New Roman" w:hAnsi="Times New Roman"/>
          <w:sz w:val="24"/>
        </w:rPr>
        <w:fldChar w:fldCharType="separate"/>
      </w:r>
      <w:r w:rsidR="0021591B" w:rsidRPr="00190574">
        <w:rPr>
          <w:rFonts w:ascii="Times New Roman" w:hAnsi="Times New Roman"/>
          <w:sz w:val="24"/>
        </w:rPr>
        <w:t xml:space="preserve">Table </w:t>
      </w:r>
      <w:r w:rsidR="0021591B" w:rsidRPr="00190574">
        <w:rPr>
          <w:rFonts w:ascii="Times New Roman" w:hAnsi="Times New Roman"/>
          <w:noProof/>
          <w:sz w:val="24"/>
        </w:rPr>
        <w:t>7</w:t>
      </w:r>
      <w:r w:rsidRPr="00190574">
        <w:rPr>
          <w:rFonts w:ascii="Times New Roman" w:hAnsi="Times New Roman"/>
          <w:sz w:val="24"/>
        </w:rPr>
        <w:fldChar w:fldCharType="end"/>
      </w:r>
      <w:r w:rsidRPr="00190574">
        <w:rPr>
          <w:rFonts w:ascii="Times New Roman" w:hAnsi="Times New Roman"/>
          <w:sz w:val="24"/>
        </w:rPr>
        <w:t xml:space="preserve"> illustrates the employment estimation procedure with an example of CBP data reported for Maine.</w:t>
      </w:r>
    </w:p>
    <w:p w:rsidR="00F346E7" w:rsidRPr="00190574" w:rsidRDefault="00F346E7" w:rsidP="00F346E7">
      <w:pPr>
        <w:pStyle w:val="Caption"/>
        <w:keepNext/>
        <w:jc w:val="center"/>
        <w:rPr>
          <w:rFonts w:ascii="Times New Roman" w:hAnsi="Times New Roman"/>
          <w:b w:val="0"/>
          <w:sz w:val="24"/>
          <w:szCs w:val="24"/>
        </w:rPr>
      </w:pPr>
      <w:bookmarkStart w:id="26" w:name="_Ref416179659"/>
      <w:bookmarkStart w:id="27" w:name="_Toc484000184"/>
      <w:r w:rsidRPr="00190574">
        <w:rPr>
          <w:rFonts w:ascii="Times New Roman" w:hAnsi="Times New Roman"/>
          <w:sz w:val="24"/>
          <w:szCs w:val="24"/>
        </w:rPr>
        <w:t xml:space="preserve">Table </w:t>
      </w:r>
      <w:r w:rsidR="006100DB" w:rsidRPr="00190574">
        <w:rPr>
          <w:rFonts w:ascii="Times New Roman" w:hAnsi="Times New Roman"/>
          <w:sz w:val="24"/>
          <w:szCs w:val="24"/>
        </w:rPr>
        <w:fldChar w:fldCharType="begin"/>
      </w:r>
      <w:r w:rsidR="006100DB" w:rsidRPr="00190574">
        <w:rPr>
          <w:rFonts w:ascii="Times New Roman" w:hAnsi="Times New Roman"/>
          <w:sz w:val="24"/>
          <w:szCs w:val="24"/>
        </w:rPr>
        <w:instrText xml:space="preserve"> SEQ Table \* ARABIC </w:instrText>
      </w:r>
      <w:r w:rsidR="006100DB" w:rsidRPr="00190574">
        <w:rPr>
          <w:rFonts w:ascii="Times New Roman" w:hAnsi="Times New Roman"/>
          <w:sz w:val="24"/>
          <w:szCs w:val="24"/>
        </w:rPr>
        <w:fldChar w:fldCharType="separate"/>
      </w:r>
      <w:r w:rsidR="0021591B" w:rsidRPr="00190574">
        <w:rPr>
          <w:rFonts w:ascii="Times New Roman" w:hAnsi="Times New Roman"/>
          <w:noProof/>
          <w:sz w:val="24"/>
          <w:szCs w:val="24"/>
        </w:rPr>
        <w:t>7</w:t>
      </w:r>
      <w:r w:rsidR="006100DB" w:rsidRPr="00190574">
        <w:rPr>
          <w:rFonts w:ascii="Times New Roman" w:hAnsi="Times New Roman"/>
          <w:sz w:val="24"/>
          <w:szCs w:val="24"/>
        </w:rPr>
        <w:fldChar w:fldCharType="end"/>
      </w:r>
      <w:bookmarkEnd w:id="26"/>
      <w:r w:rsidRPr="00190574">
        <w:rPr>
          <w:rFonts w:ascii="Times New Roman" w:hAnsi="Times New Roman"/>
          <w:sz w:val="24"/>
          <w:szCs w:val="24"/>
        </w:rPr>
        <w:t xml:space="preserve">. </w:t>
      </w:r>
      <w:r w:rsidRPr="00190574">
        <w:rPr>
          <w:rFonts w:ascii="Times New Roman" w:hAnsi="Times New Roman"/>
          <w:b w:val="0"/>
          <w:sz w:val="24"/>
          <w:szCs w:val="24"/>
        </w:rPr>
        <w:t>NAICS Code 31-33 (Manufacturing) Employment Data for Maine</w:t>
      </w:r>
      <w:bookmarkEnd w:id="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Table 7. NAICS Code 31-33 (Manufacturing) Employment Data for Maine"/>
        <w:tblDescription w:val="FIPSSTATE  FIPSCTY  NAICS  EMPFLAG  EMP "/>
      </w:tblPr>
      <w:tblGrid>
        <w:gridCol w:w="1584"/>
        <w:gridCol w:w="1530"/>
        <w:gridCol w:w="1530"/>
        <w:gridCol w:w="1530"/>
        <w:gridCol w:w="1674"/>
      </w:tblGrid>
      <w:tr w:rsidR="00190574" w:rsidRPr="00190574" w:rsidTr="006A294F">
        <w:trPr>
          <w:trHeight w:val="159"/>
          <w:jc w:val="center"/>
        </w:trPr>
        <w:tc>
          <w:tcPr>
            <w:tcW w:w="1584" w:type="dxa"/>
            <w:shd w:val="clear" w:color="auto" w:fill="D6291C"/>
          </w:tcPr>
          <w:p w:rsidR="00F346E7" w:rsidRPr="00190574" w:rsidRDefault="00F346E7" w:rsidP="00F346E7">
            <w:pPr>
              <w:pStyle w:val="Default"/>
              <w:jc w:val="center"/>
              <w:rPr>
                <w:color w:val="auto"/>
              </w:rPr>
            </w:pPr>
            <w:r w:rsidRPr="00190574">
              <w:rPr>
                <w:b/>
                <w:bCs/>
                <w:color w:val="auto"/>
              </w:rPr>
              <w:t xml:space="preserve">FIPSSTATE </w:t>
            </w:r>
          </w:p>
        </w:tc>
        <w:tc>
          <w:tcPr>
            <w:tcW w:w="1530" w:type="dxa"/>
            <w:shd w:val="clear" w:color="auto" w:fill="D6291C"/>
          </w:tcPr>
          <w:p w:rsidR="00F346E7" w:rsidRPr="00190574" w:rsidRDefault="00F346E7" w:rsidP="00F346E7">
            <w:pPr>
              <w:pStyle w:val="Default"/>
              <w:jc w:val="center"/>
              <w:rPr>
                <w:color w:val="auto"/>
              </w:rPr>
            </w:pPr>
            <w:r w:rsidRPr="00190574">
              <w:rPr>
                <w:b/>
                <w:bCs/>
                <w:color w:val="auto"/>
              </w:rPr>
              <w:t xml:space="preserve">FIPSCTY </w:t>
            </w:r>
          </w:p>
        </w:tc>
        <w:tc>
          <w:tcPr>
            <w:tcW w:w="1530" w:type="dxa"/>
            <w:shd w:val="clear" w:color="auto" w:fill="D6291C"/>
          </w:tcPr>
          <w:p w:rsidR="00F346E7" w:rsidRPr="00190574" w:rsidRDefault="00F346E7" w:rsidP="00F346E7">
            <w:pPr>
              <w:pStyle w:val="Default"/>
              <w:jc w:val="center"/>
              <w:rPr>
                <w:color w:val="auto"/>
              </w:rPr>
            </w:pPr>
            <w:r w:rsidRPr="00190574">
              <w:rPr>
                <w:b/>
                <w:bCs/>
                <w:color w:val="auto"/>
              </w:rPr>
              <w:t xml:space="preserve">NAICS </w:t>
            </w:r>
          </w:p>
        </w:tc>
        <w:tc>
          <w:tcPr>
            <w:tcW w:w="1530" w:type="dxa"/>
            <w:shd w:val="clear" w:color="auto" w:fill="D6291C"/>
          </w:tcPr>
          <w:p w:rsidR="00F346E7" w:rsidRPr="00190574" w:rsidRDefault="00F346E7" w:rsidP="00F346E7">
            <w:pPr>
              <w:pStyle w:val="Default"/>
              <w:jc w:val="center"/>
              <w:rPr>
                <w:color w:val="auto"/>
              </w:rPr>
            </w:pPr>
            <w:r w:rsidRPr="00190574">
              <w:rPr>
                <w:b/>
                <w:bCs/>
                <w:color w:val="auto"/>
              </w:rPr>
              <w:t xml:space="preserve">EMPFLAG </w:t>
            </w:r>
          </w:p>
        </w:tc>
        <w:tc>
          <w:tcPr>
            <w:tcW w:w="1674" w:type="dxa"/>
            <w:shd w:val="clear" w:color="auto" w:fill="D6291C"/>
          </w:tcPr>
          <w:p w:rsidR="00F346E7" w:rsidRPr="00190574" w:rsidRDefault="00F346E7" w:rsidP="00F346E7">
            <w:pPr>
              <w:pStyle w:val="Default"/>
              <w:jc w:val="center"/>
              <w:rPr>
                <w:color w:val="auto"/>
              </w:rPr>
            </w:pPr>
            <w:r w:rsidRPr="00190574">
              <w:rPr>
                <w:b/>
                <w:bCs/>
                <w:color w:val="auto"/>
              </w:rPr>
              <w:t xml:space="preserve">EMP </w:t>
            </w:r>
          </w:p>
        </w:tc>
      </w:tr>
      <w:tr w:rsidR="00190574" w:rsidRPr="00190574" w:rsidTr="00F346E7">
        <w:trPr>
          <w:trHeight w:val="157"/>
          <w:jc w:val="center"/>
        </w:trPr>
        <w:tc>
          <w:tcPr>
            <w:tcW w:w="1584" w:type="dxa"/>
          </w:tcPr>
          <w:p w:rsidR="00F346E7" w:rsidRPr="00190574" w:rsidRDefault="00F346E7" w:rsidP="00F346E7">
            <w:pPr>
              <w:pStyle w:val="Default"/>
              <w:jc w:val="center"/>
              <w:rPr>
                <w:color w:val="auto"/>
              </w:rPr>
            </w:pPr>
            <w:r w:rsidRPr="00190574">
              <w:rPr>
                <w:color w:val="auto"/>
              </w:rPr>
              <w:t xml:space="preserve">23 </w:t>
            </w:r>
          </w:p>
        </w:tc>
        <w:tc>
          <w:tcPr>
            <w:tcW w:w="1530" w:type="dxa"/>
          </w:tcPr>
          <w:p w:rsidR="00F346E7" w:rsidRPr="00190574" w:rsidRDefault="00F346E7" w:rsidP="00F346E7">
            <w:pPr>
              <w:pStyle w:val="Default"/>
              <w:jc w:val="center"/>
              <w:rPr>
                <w:color w:val="auto"/>
              </w:rPr>
            </w:pPr>
            <w:r w:rsidRPr="00190574">
              <w:rPr>
                <w:color w:val="auto"/>
              </w:rPr>
              <w:t xml:space="preserve">001 </w:t>
            </w:r>
          </w:p>
        </w:tc>
        <w:tc>
          <w:tcPr>
            <w:tcW w:w="1530" w:type="dxa"/>
          </w:tcPr>
          <w:p w:rsidR="00F346E7" w:rsidRPr="00190574" w:rsidRDefault="00F346E7" w:rsidP="00F346E7">
            <w:pPr>
              <w:pStyle w:val="Default"/>
              <w:jc w:val="center"/>
              <w:rPr>
                <w:color w:val="auto"/>
              </w:rPr>
            </w:pPr>
            <w:r w:rsidRPr="00190574">
              <w:rPr>
                <w:color w:val="auto"/>
              </w:rPr>
              <w:t xml:space="preserve">31---- </w:t>
            </w:r>
          </w:p>
        </w:tc>
        <w:tc>
          <w:tcPr>
            <w:tcW w:w="1530" w:type="dxa"/>
          </w:tcPr>
          <w:p w:rsidR="00F346E7" w:rsidRPr="00190574" w:rsidRDefault="00F346E7" w:rsidP="00F346E7">
            <w:pPr>
              <w:pStyle w:val="Default"/>
              <w:jc w:val="center"/>
              <w:rPr>
                <w:color w:val="auto"/>
              </w:rPr>
            </w:pPr>
          </w:p>
        </w:tc>
        <w:tc>
          <w:tcPr>
            <w:tcW w:w="1674" w:type="dxa"/>
          </w:tcPr>
          <w:p w:rsidR="00F346E7" w:rsidRPr="00190574" w:rsidRDefault="00F346E7" w:rsidP="00F346E7">
            <w:pPr>
              <w:pStyle w:val="Default"/>
              <w:jc w:val="center"/>
              <w:rPr>
                <w:color w:val="auto"/>
              </w:rPr>
            </w:pPr>
            <w:r w:rsidRPr="00190574">
              <w:rPr>
                <w:color w:val="auto"/>
              </w:rPr>
              <w:t>6,774</w:t>
            </w:r>
          </w:p>
        </w:tc>
      </w:tr>
      <w:tr w:rsidR="00190574" w:rsidRPr="00190574" w:rsidTr="00F346E7">
        <w:trPr>
          <w:trHeight w:val="157"/>
          <w:jc w:val="center"/>
        </w:trPr>
        <w:tc>
          <w:tcPr>
            <w:tcW w:w="1584" w:type="dxa"/>
          </w:tcPr>
          <w:p w:rsidR="00F346E7" w:rsidRPr="00190574" w:rsidRDefault="00F346E7" w:rsidP="00F346E7">
            <w:pPr>
              <w:pStyle w:val="Default"/>
              <w:jc w:val="center"/>
              <w:rPr>
                <w:color w:val="auto"/>
              </w:rPr>
            </w:pPr>
            <w:r w:rsidRPr="00190574">
              <w:rPr>
                <w:color w:val="auto"/>
              </w:rPr>
              <w:t xml:space="preserve">23 </w:t>
            </w:r>
          </w:p>
        </w:tc>
        <w:tc>
          <w:tcPr>
            <w:tcW w:w="1530" w:type="dxa"/>
          </w:tcPr>
          <w:p w:rsidR="00F346E7" w:rsidRPr="00190574" w:rsidRDefault="00F346E7" w:rsidP="00F346E7">
            <w:pPr>
              <w:pStyle w:val="Default"/>
              <w:jc w:val="center"/>
              <w:rPr>
                <w:color w:val="auto"/>
              </w:rPr>
            </w:pPr>
            <w:r w:rsidRPr="00190574">
              <w:rPr>
                <w:color w:val="auto"/>
              </w:rPr>
              <w:t xml:space="preserve">003 </w:t>
            </w:r>
          </w:p>
        </w:tc>
        <w:tc>
          <w:tcPr>
            <w:tcW w:w="1530" w:type="dxa"/>
          </w:tcPr>
          <w:p w:rsidR="00F346E7" w:rsidRPr="00190574" w:rsidRDefault="00F346E7" w:rsidP="00F346E7">
            <w:pPr>
              <w:pStyle w:val="Default"/>
              <w:jc w:val="center"/>
              <w:rPr>
                <w:color w:val="auto"/>
              </w:rPr>
            </w:pPr>
            <w:r w:rsidRPr="00190574">
              <w:rPr>
                <w:color w:val="auto"/>
              </w:rPr>
              <w:t xml:space="preserve">31---- </w:t>
            </w:r>
          </w:p>
        </w:tc>
        <w:tc>
          <w:tcPr>
            <w:tcW w:w="1530" w:type="dxa"/>
          </w:tcPr>
          <w:p w:rsidR="00F346E7" w:rsidRPr="00190574" w:rsidRDefault="00F346E7" w:rsidP="00F346E7">
            <w:pPr>
              <w:pStyle w:val="Default"/>
              <w:jc w:val="right"/>
              <w:rPr>
                <w:color w:val="auto"/>
              </w:rPr>
            </w:pPr>
          </w:p>
        </w:tc>
        <w:tc>
          <w:tcPr>
            <w:tcW w:w="1674" w:type="dxa"/>
          </w:tcPr>
          <w:p w:rsidR="00F346E7" w:rsidRPr="00190574" w:rsidRDefault="00F346E7" w:rsidP="00F346E7">
            <w:pPr>
              <w:pStyle w:val="Default"/>
              <w:jc w:val="center"/>
              <w:rPr>
                <w:color w:val="auto"/>
              </w:rPr>
            </w:pPr>
            <w:r w:rsidRPr="00190574">
              <w:rPr>
                <w:color w:val="auto"/>
              </w:rPr>
              <w:t>3,124</w:t>
            </w:r>
          </w:p>
        </w:tc>
      </w:tr>
      <w:tr w:rsidR="00190574" w:rsidRPr="00190574" w:rsidTr="00F346E7">
        <w:trPr>
          <w:trHeight w:val="157"/>
          <w:jc w:val="center"/>
        </w:trPr>
        <w:tc>
          <w:tcPr>
            <w:tcW w:w="1584" w:type="dxa"/>
          </w:tcPr>
          <w:p w:rsidR="00F346E7" w:rsidRPr="00190574" w:rsidRDefault="00F346E7" w:rsidP="00F346E7">
            <w:pPr>
              <w:pStyle w:val="Default"/>
              <w:jc w:val="center"/>
              <w:rPr>
                <w:color w:val="auto"/>
              </w:rPr>
            </w:pPr>
            <w:r w:rsidRPr="00190574">
              <w:rPr>
                <w:color w:val="auto"/>
              </w:rPr>
              <w:t xml:space="preserve">23 </w:t>
            </w:r>
          </w:p>
        </w:tc>
        <w:tc>
          <w:tcPr>
            <w:tcW w:w="1530" w:type="dxa"/>
          </w:tcPr>
          <w:p w:rsidR="00F346E7" w:rsidRPr="00190574" w:rsidRDefault="00F346E7" w:rsidP="00F346E7">
            <w:pPr>
              <w:pStyle w:val="Default"/>
              <w:jc w:val="center"/>
              <w:rPr>
                <w:color w:val="auto"/>
              </w:rPr>
            </w:pPr>
            <w:r w:rsidRPr="00190574">
              <w:rPr>
                <w:color w:val="auto"/>
              </w:rPr>
              <w:t xml:space="preserve">005 </w:t>
            </w:r>
          </w:p>
        </w:tc>
        <w:tc>
          <w:tcPr>
            <w:tcW w:w="1530" w:type="dxa"/>
          </w:tcPr>
          <w:p w:rsidR="00F346E7" w:rsidRPr="00190574" w:rsidRDefault="00F346E7" w:rsidP="00F346E7">
            <w:pPr>
              <w:pStyle w:val="Default"/>
              <w:jc w:val="center"/>
              <w:rPr>
                <w:color w:val="auto"/>
              </w:rPr>
            </w:pPr>
            <w:r w:rsidRPr="00190574">
              <w:rPr>
                <w:color w:val="auto"/>
              </w:rPr>
              <w:t xml:space="preserve">31---- </w:t>
            </w:r>
          </w:p>
        </w:tc>
        <w:tc>
          <w:tcPr>
            <w:tcW w:w="1530" w:type="dxa"/>
          </w:tcPr>
          <w:p w:rsidR="00F346E7" w:rsidRPr="00190574" w:rsidRDefault="00F346E7" w:rsidP="00F346E7">
            <w:pPr>
              <w:pStyle w:val="Default"/>
              <w:jc w:val="right"/>
              <w:rPr>
                <w:color w:val="auto"/>
              </w:rPr>
            </w:pPr>
          </w:p>
        </w:tc>
        <w:tc>
          <w:tcPr>
            <w:tcW w:w="1674" w:type="dxa"/>
          </w:tcPr>
          <w:p w:rsidR="00F346E7" w:rsidRPr="00190574" w:rsidRDefault="00F346E7" w:rsidP="00F346E7">
            <w:pPr>
              <w:pStyle w:val="Default"/>
              <w:jc w:val="center"/>
              <w:rPr>
                <w:color w:val="auto"/>
              </w:rPr>
            </w:pPr>
            <w:r w:rsidRPr="00190574">
              <w:rPr>
                <w:color w:val="auto"/>
              </w:rPr>
              <w:t>10,333</w:t>
            </w:r>
          </w:p>
        </w:tc>
      </w:tr>
      <w:tr w:rsidR="00190574" w:rsidRPr="00190574" w:rsidTr="00F346E7">
        <w:trPr>
          <w:trHeight w:val="157"/>
          <w:jc w:val="center"/>
        </w:trPr>
        <w:tc>
          <w:tcPr>
            <w:tcW w:w="1584" w:type="dxa"/>
          </w:tcPr>
          <w:p w:rsidR="00F346E7" w:rsidRPr="00190574" w:rsidRDefault="00F346E7" w:rsidP="00F346E7">
            <w:pPr>
              <w:pStyle w:val="Default"/>
              <w:jc w:val="center"/>
              <w:rPr>
                <w:color w:val="auto"/>
              </w:rPr>
            </w:pPr>
            <w:r w:rsidRPr="00190574">
              <w:rPr>
                <w:color w:val="auto"/>
              </w:rPr>
              <w:t xml:space="preserve">23 </w:t>
            </w:r>
          </w:p>
        </w:tc>
        <w:tc>
          <w:tcPr>
            <w:tcW w:w="1530" w:type="dxa"/>
          </w:tcPr>
          <w:p w:rsidR="00F346E7" w:rsidRPr="00190574" w:rsidRDefault="00F346E7" w:rsidP="00F346E7">
            <w:pPr>
              <w:pStyle w:val="Default"/>
              <w:jc w:val="center"/>
              <w:rPr>
                <w:color w:val="auto"/>
              </w:rPr>
            </w:pPr>
            <w:r w:rsidRPr="00190574">
              <w:rPr>
                <w:color w:val="auto"/>
              </w:rPr>
              <w:t xml:space="preserve">007 </w:t>
            </w:r>
          </w:p>
        </w:tc>
        <w:tc>
          <w:tcPr>
            <w:tcW w:w="1530" w:type="dxa"/>
          </w:tcPr>
          <w:p w:rsidR="00F346E7" w:rsidRPr="00190574" w:rsidRDefault="00F346E7" w:rsidP="00F346E7">
            <w:pPr>
              <w:pStyle w:val="Default"/>
              <w:jc w:val="center"/>
              <w:rPr>
                <w:color w:val="auto"/>
              </w:rPr>
            </w:pPr>
            <w:r w:rsidRPr="00190574">
              <w:rPr>
                <w:color w:val="auto"/>
              </w:rPr>
              <w:t xml:space="preserve">31---- </w:t>
            </w:r>
          </w:p>
        </w:tc>
        <w:tc>
          <w:tcPr>
            <w:tcW w:w="1530" w:type="dxa"/>
          </w:tcPr>
          <w:p w:rsidR="00F346E7" w:rsidRPr="00190574" w:rsidRDefault="00F346E7" w:rsidP="00F346E7">
            <w:pPr>
              <w:pStyle w:val="Default"/>
              <w:jc w:val="right"/>
              <w:rPr>
                <w:color w:val="auto"/>
              </w:rPr>
            </w:pPr>
          </w:p>
        </w:tc>
        <w:tc>
          <w:tcPr>
            <w:tcW w:w="1674" w:type="dxa"/>
          </w:tcPr>
          <w:p w:rsidR="00F346E7" w:rsidRPr="00190574" w:rsidRDefault="00F346E7" w:rsidP="00F346E7">
            <w:pPr>
              <w:pStyle w:val="Default"/>
              <w:jc w:val="center"/>
              <w:rPr>
                <w:color w:val="auto"/>
              </w:rPr>
            </w:pPr>
            <w:r w:rsidRPr="00190574">
              <w:rPr>
                <w:color w:val="auto"/>
              </w:rPr>
              <w:t>1,786</w:t>
            </w:r>
          </w:p>
        </w:tc>
      </w:tr>
      <w:tr w:rsidR="00190574" w:rsidRPr="00190574" w:rsidTr="00F346E7">
        <w:trPr>
          <w:trHeight w:val="157"/>
          <w:jc w:val="center"/>
        </w:trPr>
        <w:tc>
          <w:tcPr>
            <w:tcW w:w="1584" w:type="dxa"/>
          </w:tcPr>
          <w:p w:rsidR="00F346E7" w:rsidRPr="00190574" w:rsidRDefault="00F346E7" w:rsidP="00F346E7">
            <w:pPr>
              <w:pStyle w:val="Default"/>
              <w:jc w:val="center"/>
              <w:rPr>
                <w:color w:val="auto"/>
              </w:rPr>
            </w:pPr>
            <w:r w:rsidRPr="00190574">
              <w:rPr>
                <w:color w:val="auto"/>
              </w:rPr>
              <w:t xml:space="preserve">23 </w:t>
            </w:r>
          </w:p>
        </w:tc>
        <w:tc>
          <w:tcPr>
            <w:tcW w:w="1530" w:type="dxa"/>
          </w:tcPr>
          <w:p w:rsidR="00F346E7" w:rsidRPr="00190574" w:rsidRDefault="00F346E7" w:rsidP="00F346E7">
            <w:pPr>
              <w:pStyle w:val="Default"/>
              <w:jc w:val="center"/>
              <w:rPr>
                <w:color w:val="auto"/>
              </w:rPr>
            </w:pPr>
            <w:r w:rsidRPr="00190574">
              <w:rPr>
                <w:color w:val="auto"/>
              </w:rPr>
              <w:t xml:space="preserve">009 </w:t>
            </w:r>
          </w:p>
        </w:tc>
        <w:tc>
          <w:tcPr>
            <w:tcW w:w="1530" w:type="dxa"/>
          </w:tcPr>
          <w:p w:rsidR="00F346E7" w:rsidRPr="00190574" w:rsidRDefault="00F346E7" w:rsidP="00F346E7">
            <w:pPr>
              <w:pStyle w:val="Default"/>
              <w:jc w:val="center"/>
              <w:rPr>
                <w:color w:val="auto"/>
              </w:rPr>
            </w:pPr>
            <w:r w:rsidRPr="00190574">
              <w:rPr>
                <w:color w:val="auto"/>
              </w:rPr>
              <w:t xml:space="preserve">31---- </w:t>
            </w:r>
          </w:p>
        </w:tc>
        <w:tc>
          <w:tcPr>
            <w:tcW w:w="1530" w:type="dxa"/>
          </w:tcPr>
          <w:p w:rsidR="00F346E7" w:rsidRPr="00190574" w:rsidRDefault="00F346E7" w:rsidP="00F346E7">
            <w:pPr>
              <w:pStyle w:val="Default"/>
              <w:jc w:val="right"/>
              <w:rPr>
                <w:color w:val="auto"/>
              </w:rPr>
            </w:pPr>
          </w:p>
        </w:tc>
        <w:tc>
          <w:tcPr>
            <w:tcW w:w="1674" w:type="dxa"/>
          </w:tcPr>
          <w:p w:rsidR="00F346E7" w:rsidRPr="00190574" w:rsidRDefault="00F346E7" w:rsidP="00F346E7">
            <w:pPr>
              <w:pStyle w:val="Default"/>
              <w:jc w:val="center"/>
              <w:rPr>
                <w:color w:val="auto"/>
              </w:rPr>
            </w:pPr>
            <w:r w:rsidRPr="00190574">
              <w:rPr>
                <w:color w:val="auto"/>
              </w:rPr>
              <w:t>1,954</w:t>
            </w:r>
          </w:p>
        </w:tc>
      </w:tr>
      <w:tr w:rsidR="00190574" w:rsidRPr="00190574" w:rsidTr="00F346E7">
        <w:trPr>
          <w:trHeight w:val="157"/>
          <w:jc w:val="center"/>
        </w:trPr>
        <w:tc>
          <w:tcPr>
            <w:tcW w:w="1584" w:type="dxa"/>
          </w:tcPr>
          <w:p w:rsidR="00F346E7" w:rsidRPr="00190574" w:rsidRDefault="00F346E7" w:rsidP="00F346E7">
            <w:pPr>
              <w:pStyle w:val="Default"/>
              <w:jc w:val="center"/>
              <w:rPr>
                <w:color w:val="auto"/>
              </w:rPr>
            </w:pPr>
            <w:r w:rsidRPr="00190574">
              <w:rPr>
                <w:color w:val="auto"/>
              </w:rPr>
              <w:t xml:space="preserve">23 </w:t>
            </w:r>
          </w:p>
        </w:tc>
        <w:tc>
          <w:tcPr>
            <w:tcW w:w="1530" w:type="dxa"/>
          </w:tcPr>
          <w:p w:rsidR="00F346E7" w:rsidRPr="00190574" w:rsidRDefault="00F346E7" w:rsidP="00F346E7">
            <w:pPr>
              <w:pStyle w:val="Default"/>
              <w:jc w:val="center"/>
              <w:rPr>
                <w:color w:val="auto"/>
              </w:rPr>
            </w:pPr>
            <w:r w:rsidRPr="00190574">
              <w:rPr>
                <w:color w:val="auto"/>
              </w:rPr>
              <w:t xml:space="preserve">011 </w:t>
            </w:r>
          </w:p>
        </w:tc>
        <w:tc>
          <w:tcPr>
            <w:tcW w:w="1530" w:type="dxa"/>
          </w:tcPr>
          <w:p w:rsidR="00F346E7" w:rsidRPr="00190574" w:rsidRDefault="00F346E7" w:rsidP="00F346E7">
            <w:pPr>
              <w:pStyle w:val="Default"/>
              <w:jc w:val="center"/>
              <w:rPr>
                <w:color w:val="auto"/>
              </w:rPr>
            </w:pPr>
            <w:r w:rsidRPr="00190574">
              <w:rPr>
                <w:color w:val="auto"/>
              </w:rPr>
              <w:t xml:space="preserve">31---- </w:t>
            </w:r>
          </w:p>
        </w:tc>
        <w:tc>
          <w:tcPr>
            <w:tcW w:w="1530" w:type="dxa"/>
          </w:tcPr>
          <w:p w:rsidR="00F346E7" w:rsidRPr="00190574" w:rsidRDefault="00F346E7" w:rsidP="00F346E7">
            <w:pPr>
              <w:pStyle w:val="Default"/>
              <w:jc w:val="right"/>
              <w:rPr>
                <w:color w:val="auto"/>
              </w:rPr>
            </w:pPr>
          </w:p>
        </w:tc>
        <w:tc>
          <w:tcPr>
            <w:tcW w:w="1674" w:type="dxa"/>
          </w:tcPr>
          <w:p w:rsidR="00F346E7" w:rsidRPr="00190574" w:rsidRDefault="00F346E7" w:rsidP="00F346E7">
            <w:pPr>
              <w:pStyle w:val="Default"/>
              <w:jc w:val="center"/>
              <w:rPr>
                <w:color w:val="auto"/>
              </w:rPr>
            </w:pPr>
            <w:r w:rsidRPr="00190574">
              <w:rPr>
                <w:color w:val="auto"/>
              </w:rPr>
              <w:t>2,535</w:t>
            </w:r>
          </w:p>
        </w:tc>
      </w:tr>
      <w:tr w:rsidR="00190574" w:rsidRPr="00190574" w:rsidTr="00F346E7">
        <w:trPr>
          <w:trHeight w:val="157"/>
          <w:jc w:val="center"/>
        </w:trPr>
        <w:tc>
          <w:tcPr>
            <w:tcW w:w="1584" w:type="dxa"/>
          </w:tcPr>
          <w:p w:rsidR="00F346E7" w:rsidRPr="00190574" w:rsidRDefault="00F346E7" w:rsidP="00F346E7">
            <w:pPr>
              <w:pStyle w:val="Default"/>
              <w:jc w:val="center"/>
              <w:rPr>
                <w:color w:val="auto"/>
              </w:rPr>
            </w:pPr>
            <w:r w:rsidRPr="00190574">
              <w:rPr>
                <w:color w:val="auto"/>
              </w:rPr>
              <w:t xml:space="preserve">23 </w:t>
            </w:r>
          </w:p>
        </w:tc>
        <w:tc>
          <w:tcPr>
            <w:tcW w:w="1530" w:type="dxa"/>
          </w:tcPr>
          <w:p w:rsidR="00F346E7" w:rsidRPr="00190574" w:rsidRDefault="00F346E7" w:rsidP="00F346E7">
            <w:pPr>
              <w:pStyle w:val="Default"/>
              <w:jc w:val="center"/>
              <w:rPr>
                <w:color w:val="auto"/>
              </w:rPr>
            </w:pPr>
            <w:r w:rsidRPr="00190574">
              <w:rPr>
                <w:color w:val="auto"/>
              </w:rPr>
              <w:t xml:space="preserve">013 </w:t>
            </w:r>
          </w:p>
        </w:tc>
        <w:tc>
          <w:tcPr>
            <w:tcW w:w="1530" w:type="dxa"/>
          </w:tcPr>
          <w:p w:rsidR="00F346E7" w:rsidRPr="00190574" w:rsidRDefault="00F346E7" w:rsidP="00F346E7">
            <w:pPr>
              <w:pStyle w:val="Default"/>
              <w:jc w:val="center"/>
              <w:rPr>
                <w:color w:val="auto"/>
              </w:rPr>
            </w:pPr>
            <w:r w:rsidRPr="00190574">
              <w:rPr>
                <w:color w:val="auto"/>
              </w:rPr>
              <w:t xml:space="preserve">31---- </w:t>
            </w:r>
          </w:p>
        </w:tc>
        <w:tc>
          <w:tcPr>
            <w:tcW w:w="1530" w:type="dxa"/>
          </w:tcPr>
          <w:p w:rsidR="00F346E7" w:rsidRPr="00190574" w:rsidRDefault="00F346E7" w:rsidP="00F346E7">
            <w:pPr>
              <w:pStyle w:val="Default"/>
              <w:jc w:val="right"/>
              <w:rPr>
                <w:color w:val="auto"/>
              </w:rPr>
            </w:pPr>
          </w:p>
        </w:tc>
        <w:tc>
          <w:tcPr>
            <w:tcW w:w="1674" w:type="dxa"/>
          </w:tcPr>
          <w:p w:rsidR="00F346E7" w:rsidRPr="00190574" w:rsidRDefault="00F346E7" w:rsidP="00F346E7">
            <w:pPr>
              <w:pStyle w:val="Default"/>
              <w:jc w:val="center"/>
              <w:rPr>
                <w:color w:val="auto"/>
              </w:rPr>
            </w:pPr>
            <w:r w:rsidRPr="00190574">
              <w:rPr>
                <w:color w:val="auto"/>
              </w:rPr>
              <w:t>1,418</w:t>
            </w:r>
          </w:p>
        </w:tc>
      </w:tr>
      <w:tr w:rsidR="00190574" w:rsidRPr="00190574" w:rsidTr="00F346E7">
        <w:trPr>
          <w:trHeight w:val="157"/>
          <w:jc w:val="center"/>
        </w:trPr>
        <w:tc>
          <w:tcPr>
            <w:tcW w:w="1584" w:type="dxa"/>
          </w:tcPr>
          <w:p w:rsidR="00F346E7" w:rsidRPr="00190574" w:rsidRDefault="00F346E7" w:rsidP="00F346E7">
            <w:pPr>
              <w:pStyle w:val="Default"/>
              <w:jc w:val="center"/>
              <w:rPr>
                <w:color w:val="auto"/>
              </w:rPr>
            </w:pPr>
            <w:r w:rsidRPr="00190574">
              <w:rPr>
                <w:color w:val="auto"/>
              </w:rPr>
              <w:t xml:space="preserve">23 </w:t>
            </w:r>
          </w:p>
        </w:tc>
        <w:tc>
          <w:tcPr>
            <w:tcW w:w="1530" w:type="dxa"/>
          </w:tcPr>
          <w:p w:rsidR="00F346E7" w:rsidRPr="00190574" w:rsidRDefault="00F346E7" w:rsidP="00F346E7">
            <w:pPr>
              <w:pStyle w:val="Default"/>
              <w:jc w:val="center"/>
              <w:rPr>
                <w:color w:val="auto"/>
              </w:rPr>
            </w:pPr>
            <w:r w:rsidRPr="00190574">
              <w:rPr>
                <w:color w:val="auto"/>
              </w:rPr>
              <w:t xml:space="preserve">015 </w:t>
            </w:r>
          </w:p>
        </w:tc>
        <w:tc>
          <w:tcPr>
            <w:tcW w:w="1530" w:type="dxa"/>
          </w:tcPr>
          <w:p w:rsidR="00F346E7" w:rsidRPr="00190574" w:rsidRDefault="00F346E7" w:rsidP="00F346E7">
            <w:pPr>
              <w:pStyle w:val="Default"/>
              <w:jc w:val="center"/>
              <w:rPr>
                <w:color w:val="auto"/>
              </w:rPr>
            </w:pPr>
            <w:r w:rsidRPr="00190574">
              <w:rPr>
                <w:color w:val="auto"/>
              </w:rPr>
              <w:t xml:space="preserve">31---- </w:t>
            </w:r>
          </w:p>
        </w:tc>
        <w:tc>
          <w:tcPr>
            <w:tcW w:w="1530" w:type="dxa"/>
          </w:tcPr>
          <w:p w:rsidR="00F346E7" w:rsidRPr="00190574" w:rsidRDefault="00F346E7" w:rsidP="00F346E7">
            <w:pPr>
              <w:pStyle w:val="Default"/>
              <w:jc w:val="center"/>
              <w:rPr>
                <w:color w:val="auto"/>
              </w:rPr>
            </w:pPr>
            <w:r w:rsidRPr="00190574">
              <w:rPr>
                <w:color w:val="auto"/>
              </w:rPr>
              <w:t xml:space="preserve">F </w:t>
            </w:r>
          </w:p>
        </w:tc>
        <w:tc>
          <w:tcPr>
            <w:tcW w:w="1674" w:type="dxa"/>
          </w:tcPr>
          <w:p w:rsidR="00F346E7" w:rsidRPr="00190574" w:rsidRDefault="00F346E7" w:rsidP="00F346E7">
            <w:pPr>
              <w:pStyle w:val="Default"/>
              <w:jc w:val="center"/>
              <w:rPr>
                <w:color w:val="auto"/>
              </w:rPr>
            </w:pPr>
            <w:r w:rsidRPr="00190574">
              <w:rPr>
                <w:color w:val="auto"/>
              </w:rPr>
              <w:t>0</w:t>
            </w:r>
          </w:p>
        </w:tc>
      </w:tr>
      <w:tr w:rsidR="00190574" w:rsidRPr="00190574" w:rsidTr="00F346E7">
        <w:trPr>
          <w:trHeight w:val="157"/>
          <w:jc w:val="center"/>
        </w:trPr>
        <w:tc>
          <w:tcPr>
            <w:tcW w:w="1584" w:type="dxa"/>
          </w:tcPr>
          <w:p w:rsidR="00F346E7" w:rsidRPr="00190574" w:rsidRDefault="00F346E7" w:rsidP="00F346E7">
            <w:pPr>
              <w:pStyle w:val="Default"/>
              <w:jc w:val="center"/>
              <w:rPr>
                <w:color w:val="auto"/>
              </w:rPr>
            </w:pPr>
            <w:r w:rsidRPr="00190574">
              <w:rPr>
                <w:color w:val="auto"/>
              </w:rPr>
              <w:t xml:space="preserve">23 </w:t>
            </w:r>
          </w:p>
        </w:tc>
        <w:tc>
          <w:tcPr>
            <w:tcW w:w="1530" w:type="dxa"/>
          </w:tcPr>
          <w:p w:rsidR="00F346E7" w:rsidRPr="00190574" w:rsidRDefault="00F346E7" w:rsidP="00F346E7">
            <w:pPr>
              <w:pStyle w:val="Default"/>
              <w:jc w:val="center"/>
              <w:rPr>
                <w:color w:val="auto"/>
              </w:rPr>
            </w:pPr>
            <w:r w:rsidRPr="00190574">
              <w:rPr>
                <w:color w:val="auto"/>
              </w:rPr>
              <w:t xml:space="preserve">017 </w:t>
            </w:r>
          </w:p>
        </w:tc>
        <w:tc>
          <w:tcPr>
            <w:tcW w:w="1530" w:type="dxa"/>
          </w:tcPr>
          <w:p w:rsidR="00F346E7" w:rsidRPr="00190574" w:rsidRDefault="00F346E7" w:rsidP="00F346E7">
            <w:pPr>
              <w:pStyle w:val="Default"/>
              <w:jc w:val="center"/>
              <w:rPr>
                <w:color w:val="auto"/>
              </w:rPr>
            </w:pPr>
            <w:r w:rsidRPr="00190574">
              <w:rPr>
                <w:color w:val="auto"/>
              </w:rPr>
              <w:t xml:space="preserve">31---- </w:t>
            </w:r>
          </w:p>
        </w:tc>
        <w:tc>
          <w:tcPr>
            <w:tcW w:w="1530" w:type="dxa"/>
          </w:tcPr>
          <w:p w:rsidR="00F346E7" w:rsidRPr="00190574" w:rsidRDefault="00F346E7" w:rsidP="00F346E7">
            <w:pPr>
              <w:pStyle w:val="Default"/>
              <w:jc w:val="right"/>
              <w:rPr>
                <w:color w:val="auto"/>
              </w:rPr>
            </w:pPr>
          </w:p>
        </w:tc>
        <w:tc>
          <w:tcPr>
            <w:tcW w:w="1674" w:type="dxa"/>
          </w:tcPr>
          <w:p w:rsidR="00F346E7" w:rsidRPr="00190574" w:rsidRDefault="00F346E7" w:rsidP="00F346E7">
            <w:pPr>
              <w:pStyle w:val="Default"/>
              <w:jc w:val="center"/>
              <w:rPr>
                <w:color w:val="auto"/>
              </w:rPr>
            </w:pPr>
            <w:r w:rsidRPr="00190574">
              <w:rPr>
                <w:color w:val="auto"/>
              </w:rPr>
              <w:t>2,888</w:t>
            </w:r>
          </w:p>
        </w:tc>
      </w:tr>
      <w:tr w:rsidR="00190574" w:rsidRPr="00190574" w:rsidTr="00F346E7">
        <w:trPr>
          <w:trHeight w:val="157"/>
          <w:jc w:val="center"/>
        </w:trPr>
        <w:tc>
          <w:tcPr>
            <w:tcW w:w="1584" w:type="dxa"/>
          </w:tcPr>
          <w:p w:rsidR="00F346E7" w:rsidRPr="00190574" w:rsidRDefault="00F346E7" w:rsidP="00F346E7">
            <w:pPr>
              <w:pStyle w:val="Default"/>
              <w:jc w:val="center"/>
              <w:rPr>
                <w:color w:val="auto"/>
              </w:rPr>
            </w:pPr>
            <w:r w:rsidRPr="00190574">
              <w:rPr>
                <w:color w:val="auto"/>
              </w:rPr>
              <w:t xml:space="preserve">23 </w:t>
            </w:r>
          </w:p>
        </w:tc>
        <w:tc>
          <w:tcPr>
            <w:tcW w:w="1530" w:type="dxa"/>
          </w:tcPr>
          <w:p w:rsidR="00F346E7" w:rsidRPr="00190574" w:rsidRDefault="00F346E7" w:rsidP="00F346E7">
            <w:pPr>
              <w:pStyle w:val="Default"/>
              <w:jc w:val="center"/>
              <w:rPr>
                <w:color w:val="auto"/>
              </w:rPr>
            </w:pPr>
            <w:r w:rsidRPr="00190574">
              <w:rPr>
                <w:color w:val="auto"/>
              </w:rPr>
              <w:t xml:space="preserve">019 </w:t>
            </w:r>
          </w:p>
        </w:tc>
        <w:tc>
          <w:tcPr>
            <w:tcW w:w="1530" w:type="dxa"/>
          </w:tcPr>
          <w:p w:rsidR="00F346E7" w:rsidRPr="00190574" w:rsidRDefault="00F346E7" w:rsidP="00F346E7">
            <w:pPr>
              <w:pStyle w:val="Default"/>
              <w:jc w:val="center"/>
              <w:rPr>
                <w:color w:val="auto"/>
              </w:rPr>
            </w:pPr>
            <w:r w:rsidRPr="00190574">
              <w:rPr>
                <w:color w:val="auto"/>
              </w:rPr>
              <w:t xml:space="preserve">31---- </w:t>
            </w:r>
          </w:p>
        </w:tc>
        <w:tc>
          <w:tcPr>
            <w:tcW w:w="1530" w:type="dxa"/>
          </w:tcPr>
          <w:p w:rsidR="00F346E7" w:rsidRPr="00190574" w:rsidRDefault="00F346E7" w:rsidP="00F346E7">
            <w:pPr>
              <w:pStyle w:val="Default"/>
              <w:jc w:val="right"/>
              <w:rPr>
                <w:color w:val="auto"/>
              </w:rPr>
            </w:pPr>
          </w:p>
        </w:tc>
        <w:tc>
          <w:tcPr>
            <w:tcW w:w="1674" w:type="dxa"/>
          </w:tcPr>
          <w:p w:rsidR="00F346E7" w:rsidRPr="00190574" w:rsidRDefault="00F346E7" w:rsidP="00F346E7">
            <w:pPr>
              <w:pStyle w:val="Default"/>
              <w:jc w:val="center"/>
              <w:rPr>
                <w:color w:val="auto"/>
              </w:rPr>
            </w:pPr>
            <w:r w:rsidRPr="00190574">
              <w:rPr>
                <w:color w:val="auto"/>
              </w:rPr>
              <w:t>4,522</w:t>
            </w:r>
          </w:p>
        </w:tc>
      </w:tr>
      <w:tr w:rsidR="00190574" w:rsidRPr="00190574" w:rsidTr="00F346E7">
        <w:trPr>
          <w:trHeight w:val="157"/>
          <w:jc w:val="center"/>
        </w:trPr>
        <w:tc>
          <w:tcPr>
            <w:tcW w:w="1584" w:type="dxa"/>
          </w:tcPr>
          <w:p w:rsidR="00F346E7" w:rsidRPr="00190574" w:rsidRDefault="00F346E7" w:rsidP="00F346E7">
            <w:pPr>
              <w:pStyle w:val="Default"/>
              <w:jc w:val="center"/>
              <w:rPr>
                <w:color w:val="auto"/>
              </w:rPr>
            </w:pPr>
            <w:r w:rsidRPr="00190574">
              <w:rPr>
                <w:color w:val="auto"/>
              </w:rPr>
              <w:t xml:space="preserve">23 </w:t>
            </w:r>
          </w:p>
        </w:tc>
        <w:tc>
          <w:tcPr>
            <w:tcW w:w="1530" w:type="dxa"/>
          </w:tcPr>
          <w:p w:rsidR="00F346E7" w:rsidRPr="00190574" w:rsidRDefault="00F346E7" w:rsidP="00F346E7">
            <w:pPr>
              <w:pStyle w:val="Default"/>
              <w:jc w:val="center"/>
              <w:rPr>
                <w:color w:val="auto"/>
              </w:rPr>
            </w:pPr>
            <w:r w:rsidRPr="00190574">
              <w:rPr>
                <w:color w:val="auto"/>
              </w:rPr>
              <w:t xml:space="preserve">021 </w:t>
            </w:r>
          </w:p>
        </w:tc>
        <w:tc>
          <w:tcPr>
            <w:tcW w:w="1530" w:type="dxa"/>
          </w:tcPr>
          <w:p w:rsidR="00F346E7" w:rsidRPr="00190574" w:rsidRDefault="00F346E7" w:rsidP="00F346E7">
            <w:pPr>
              <w:pStyle w:val="Default"/>
              <w:jc w:val="center"/>
              <w:rPr>
                <w:color w:val="auto"/>
              </w:rPr>
            </w:pPr>
            <w:r w:rsidRPr="00190574">
              <w:rPr>
                <w:color w:val="auto"/>
              </w:rPr>
              <w:t xml:space="preserve">31---- </w:t>
            </w:r>
          </w:p>
        </w:tc>
        <w:tc>
          <w:tcPr>
            <w:tcW w:w="1530" w:type="dxa"/>
          </w:tcPr>
          <w:p w:rsidR="00F346E7" w:rsidRPr="00190574" w:rsidRDefault="00F346E7" w:rsidP="00F346E7">
            <w:pPr>
              <w:pStyle w:val="Default"/>
              <w:jc w:val="right"/>
              <w:rPr>
                <w:color w:val="auto"/>
              </w:rPr>
            </w:pPr>
          </w:p>
        </w:tc>
        <w:tc>
          <w:tcPr>
            <w:tcW w:w="1674" w:type="dxa"/>
          </w:tcPr>
          <w:p w:rsidR="00F346E7" w:rsidRPr="00190574" w:rsidRDefault="00F346E7" w:rsidP="00F346E7">
            <w:pPr>
              <w:pStyle w:val="Default"/>
              <w:jc w:val="center"/>
              <w:rPr>
                <w:color w:val="auto"/>
              </w:rPr>
            </w:pPr>
            <w:r w:rsidRPr="00190574">
              <w:rPr>
                <w:color w:val="auto"/>
              </w:rPr>
              <w:t>948</w:t>
            </w:r>
          </w:p>
        </w:tc>
      </w:tr>
      <w:tr w:rsidR="00190574" w:rsidRPr="00190574" w:rsidTr="00F346E7">
        <w:trPr>
          <w:trHeight w:val="157"/>
          <w:jc w:val="center"/>
        </w:trPr>
        <w:tc>
          <w:tcPr>
            <w:tcW w:w="1584" w:type="dxa"/>
          </w:tcPr>
          <w:p w:rsidR="00F346E7" w:rsidRPr="00190574" w:rsidRDefault="00F346E7" w:rsidP="00F346E7">
            <w:pPr>
              <w:pStyle w:val="Default"/>
              <w:jc w:val="center"/>
              <w:rPr>
                <w:color w:val="auto"/>
              </w:rPr>
            </w:pPr>
            <w:r w:rsidRPr="00190574">
              <w:rPr>
                <w:color w:val="auto"/>
              </w:rPr>
              <w:t xml:space="preserve">23 </w:t>
            </w:r>
          </w:p>
        </w:tc>
        <w:tc>
          <w:tcPr>
            <w:tcW w:w="1530" w:type="dxa"/>
          </w:tcPr>
          <w:p w:rsidR="00F346E7" w:rsidRPr="00190574" w:rsidRDefault="00F346E7" w:rsidP="00F346E7">
            <w:pPr>
              <w:pStyle w:val="Default"/>
              <w:jc w:val="center"/>
              <w:rPr>
                <w:color w:val="auto"/>
              </w:rPr>
            </w:pPr>
            <w:r w:rsidRPr="00190574">
              <w:rPr>
                <w:color w:val="auto"/>
              </w:rPr>
              <w:t xml:space="preserve">023 </w:t>
            </w:r>
          </w:p>
        </w:tc>
        <w:tc>
          <w:tcPr>
            <w:tcW w:w="1530" w:type="dxa"/>
          </w:tcPr>
          <w:p w:rsidR="00F346E7" w:rsidRPr="00190574" w:rsidRDefault="00F346E7" w:rsidP="00F346E7">
            <w:pPr>
              <w:pStyle w:val="Default"/>
              <w:jc w:val="center"/>
              <w:rPr>
                <w:color w:val="auto"/>
              </w:rPr>
            </w:pPr>
            <w:r w:rsidRPr="00190574">
              <w:rPr>
                <w:color w:val="auto"/>
              </w:rPr>
              <w:t xml:space="preserve">31---- </w:t>
            </w:r>
          </w:p>
        </w:tc>
        <w:tc>
          <w:tcPr>
            <w:tcW w:w="1530" w:type="dxa"/>
          </w:tcPr>
          <w:p w:rsidR="00F346E7" w:rsidRPr="00190574" w:rsidRDefault="00F346E7" w:rsidP="00F346E7">
            <w:pPr>
              <w:pStyle w:val="Default"/>
              <w:jc w:val="center"/>
              <w:rPr>
                <w:color w:val="auto"/>
              </w:rPr>
            </w:pPr>
            <w:r w:rsidRPr="00190574">
              <w:rPr>
                <w:color w:val="auto"/>
              </w:rPr>
              <w:t xml:space="preserve">I </w:t>
            </w:r>
          </w:p>
        </w:tc>
        <w:tc>
          <w:tcPr>
            <w:tcW w:w="1674" w:type="dxa"/>
          </w:tcPr>
          <w:p w:rsidR="00F346E7" w:rsidRPr="00190574" w:rsidRDefault="00F346E7" w:rsidP="00F346E7">
            <w:pPr>
              <w:pStyle w:val="Default"/>
              <w:jc w:val="center"/>
              <w:rPr>
                <w:color w:val="auto"/>
              </w:rPr>
            </w:pPr>
            <w:r w:rsidRPr="00190574">
              <w:rPr>
                <w:color w:val="auto"/>
              </w:rPr>
              <w:t>0</w:t>
            </w:r>
          </w:p>
        </w:tc>
      </w:tr>
      <w:tr w:rsidR="00190574" w:rsidRPr="00190574" w:rsidTr="00F346E7">
        <w:trPr>
          <w:trHeight w:val="157"/>
          <w:jc w:val="center"/>
        </w:trPr>
        <w:tc>
          <w:tcPr>
            <w:tcW w:w="1584" w:type="dxa"/>
          </w:tcPr>
          <w:p w:rsidR="00F346E7" w:rsidRPr="00190574" w:rsidRDefault="00F346E7" w:rsidP="00F346E7">
            <w:pPr>
              <w:pStyle w:val="Default"/>
              <w:jc w:val="center"/>
              <w:rPr>
                <w:color w:val="auto"/>
              </w:rPr>
            </w:pPr>
            <w:r w:rsidRPr="00190574">
              <w:rPr>
                <w:color w:val="auto"/>
              </w:rPr>
              <w:t xml:space="preserve">23 </w:t>
            </w:r>
          </w:p>
        </w:tc>
        <w:tc>
          <w:tcPr>
            <w:tcW w:w="1530" w:type="dxa"/>
          </w:tcPr>
          <w:p w:rsidR="00F346E7" w:rsidRPr="00190574" w:rsidRDefault="00F346E7" w:rsidP="00F346E7">
            <w:pPr>
              <w:pStyle w:val="Default"/>
              <w:jc w:val="center"/>
              <w:rPr>
                <w:color w:val="auto"/>
              </w:rPr>
            </w:pPr>
            <w:r w:rsidRPr="00190574">
              <w:rPr>
                <w:color w:val="auto"/>
              </w:rPr>
              <w:t xml:space="preserve">025 </w:t>
            </w:r>
          </w:p>
        </w:tc>
        <w:tc>
          <w:tcPr>
            <w:tcW w:w="1530" w:type="dxa"/>
          </w:tcPr>
          <w:p w:rsidR="00F346E7" w:rsidRPr="00190574" w:rsidRDefault="00F346E7" w:rsidP="00F346E7">
            <w:pPr>
              <w:pStyle w:val="Default"/>
              <w:jc w:val="center"/>
              <w:rPr>
                <w:color w:val="auto"/>
              </w:rPr>
            </w:pPr>
            <w:r w:rsidRPr="00190574">
              <w:rPr>
                <w:color w:val="auto"/>
              </w:rPr>
              <w:t xml:space="preserve">31---- </w:t>
            </w:r>
          </w:p>
        </w:tc>
        <w:tc>
          <w:tcPr>
            <w:tcW w:w="1530" w:type="dxa"/>
          </w:tcPr>
          <w:p w:rsidR="00F346E7" w:rsidRPr="00190574" w:rsidRDefault="00F346E7" w:rsidP="00F346E7">
            <w:pPr>
              <w:pStyle w:val="Default"/>
              <w:jc w:val="right"/>
              <w:rPr>
                <w:color w:val="auto"/>
              </w:rPr>
            </w:pPr>
          </w:p>
        </w:tc>
        <w:tc>
          <w:tcPr>
            <w:tcW w:w="1674" w:type="dxa"/>
          </w:tcPr>
          <w:p w:rsidR="00F346E7" w:rsidRPr="00190574" w:rsidRDefault="00F346E7" w:rsidP="00F346E7">
            <w:pPr>
              <w:pStyle w:val="Default"/>
              <w:jc w:val="center"/>
              <w:rPr>
                <w:color w:val="auto"/>
              </w:rPr>
            </w:pPr>
            <w:r w:rsidRPr="00190574">
              <w:rPr>
                <w:color w:val="auto"/>
              </w:rPr>
              <w:t>4,322</w:t>
            </w:r>
          </w:p>
        </w:tc>
      </w:tr>
      <w:tr w:rsidR="00190574" w:rsidRPr="00190574" w:rsidTr="00F346E7">
        <w:trPr>
          <w:trHeight w:val="157"/>
          <w:jc w:val="center"/>
        </w:trPr>
        <w:tc>
          <w:tcPr>
            <w:tcW w:w="1584" w:type="dxa"/>
          </w:tcPr>
          <w:p w:rsidR="00F346E7" w:rsidRPr="00190574" w:rsidRDefault="00F346E7" w:rsidP="00F346E7">
            <w:pPr>
              <w:pStyle w:val="Default"/>
              <w:jc w:val="center"/>
              <w:rPr>
                <w:color w:val="auto"/>
              </w:rPr>
            </w:pPr>
            <w:r w:rsidRPr="00190574">
              <w:rPr>
                <w:color w:val="auto"/>
              </w:rPr>
              <w:t xml:space="preserve">23 </w:t>
            </w:r>
          </w:p>
        </w:tc>
        <w:tc>
          <w:tcPr>
            <w:tcW w:w="1530" w:type="dxa"/>
          </w:tcPr>
          <w:p w:rsidR="00F346E7" w:rsidRPr="00190574" w:rsidRDefault="00F346E7" w:rsidP="00F346E7">
            <w:pPr>
              <w:pStyle w:val="Default"/>
              <w:jc w:val="center"/>
              <w:rPr>
                <w:color w:val="auto"/>
              </w:rPr>
            </w:pPr>
            <w:r w:rsidRPr="00190574">
              <w:rPr>
                <w:color w:val="auto"/>
              </w:rPr>
              <w:t xml:space="preserve">027 </w:t>
            </w:r>
          </w:p>
        </w:tc>
        <w:tc>
          <w:tcPr>
            <w:tcW w:w="1530" w:type="dxa"/>
          </w:tcPr>
          <w:p w:rsidR="00F346E7" w:rsidRPr="00190574" w:rsidRDefault="00F346E7" w:rsidP="00F346E7">
            <w:pPr>
              <w:pStyle w:val="Default"/>
              <w:jc w:val="center"/>
              <w:rPr>
                <w:color w:val="auto"/>
              </w:rPr>
            </w:pPr>
            <w:r w:rsidRPr="00190574">
              <w:rPr>
                <w:color w:val="auto"/>
              </w:rPr>
              <w:t xml:space="preserve">31---- </w:t>
            </w:r>
          </w:p>
        </w:tc>
        <w:tc>
          <w:tcPr>
            <w:tcW w:w="1530" w:type="dxa"/>
          </w:tcPr>
          <w:p w:rsidR="00F346E7" w:rsidRPr="00190574" w:rsidRDefault="00F346E7" w:rsidP="00F346E7">
            <w:pPr>
              <w:pStyle w:val="Default"/>
              <w:jc w:val="right"/>
              <w:rPr>
                <w:color w:val="auto"/>
              </w:rPr>
            </w:pPr>
          </w:p>
        </w:tc>
        <w:tc>
          <w:tcPr>
            <w:tcW w:w="1674" w:type="dxa"/>
          </w:tcPr>
          <w:p w:rsidR="00F346E7" w:rsidRPr="00190574" w:rsidRDefault="00F346E7" w:rsidP="00F346E7">
            <w:pPr>
              <w:pStyle w:val="Default"/>
              <w:jc w:val="center"/>
              <w:rPr>
                <w:color w:val="auto"/>
              </w:rPr>
            </w:pPr>
            <w:r w:rsidRPr="00190574">
              <w:rPr>
                <w:color w:val="auto"/>
              </w:rPr>
              <w:t>1,434</w:t>
            </w:r>
          </w:p>
        </w:tc>
      </w:tr>
      <w:tr w:rsidR="00190574" w:rsidRPr="00190574" w:rsidTr="00F346E7">
        <w:trPr>
          <w:trHeight w:val="157"/>
          <w:jc w:val="center"/>
        </w:trPr>
        <w:tc>
          <w:tcPr>
            <w:tcW w:w="1584" w:type="dxa"/>
          </w:tcPr>
          <w:p w:rsidR="00F346E7" w:rsidRPr="00190574" w:rsidRDefault="00F346E7" w:rsidP="00F346E7">
            <w:pPr>
              <w:pStyle w:val="Default"/>
              <w:jc w:val="center"/>
              <w:rPr>
                <w:color w:val="auto"/>
              </w:rPr>
            </w:pPr>
            <w:r w:rsidRPr="00190574">
              <w:rPr>
                <w:color w:val="auto"/>
              </w:rPr>
              <w:t xml:space="preserve">23 </w:t>
            </w:r>
          </w:p>
        </w:tc>
        <w:tc>
          <w:tcPr>
            <w:tcW w:w="1530" w:type="dxa"/>
          </w:tcPr>
          <w:p w:rsidR="00F346E7" w:rsidRPr="00190574" w:rsidRDefault="00F346E7" w:rsidP="00F346E7">
            <w:pPr>
              <w:pStyle w:val="Default"/>
              <w:jc w:val="center"/>
              <w:rPr>
                <w:color w:val="auto"/>
              </w:rPr>
            </w:pPr>
            <w:r w:rsidRPr="00190574">
              <w:rPr>
                <w:color w:val="auto"/>
              </w:rPr>
              <w:t xml:space="preserve">029 </w:t>
            </w:r>
          </w:p>
        </w:tc>
        <w:tc>
          <w:tcPr>
            <w:tcW w:w="1530" w:type="dxa"/>
          </w:tcPr>
          <w:p w:rsidR="00F346E7" w:rsidRPr="00190574" w:rsidRDefault="00F346E7" w:rsidP="00F346E7">
            <w:pPr>
              <w:pStyle w:val="Default"/>
              <w:jc w:val="center"/>
              <w:rPr>
                <w:color w:val="auto"/>
              </w:rPr>
            </w:pPr>
            <w:r w:rsidRPr="00190574">
              <w:rPr>
                <w:color w:val="auto"/>
              </w:rPr>
              <w:t xml:space="preserve">31---- </w:t>
            </w:r>
          </w:p>
        </w:tc>
        <w:tc>
          <w:tcPr>
            <w:tcW w:w="1530" w:type="dxa"/>
          </w:tcPr>
          <w:p w:rsidR="00F346E7" w:rsidRPr="00190574" w:rsidRDefault="00F346E7" w:rsidP="00F346E7">
            <w:pPr>
              <w:pStyle w:val="Default"/>
              <w:jc w:val="right"/>
              <w:rPr>
                <w:color w:val="auto"/>
              </w:rPr>
            </w:pPr>
          </w:p>
        </w:tc>
        <w:tc>
          <w:tcPr>
            <w:tcW w:w="1674" w:type="dxa"/>
          </w:tcPr>
          <w:p w:rsidR="00F346E7" w:rsidRPr="00190574" w:rsidRDefault="00F346E7" w:rsidP="00F346E7">
            <w:pPr>
              <w:pStyle w:val="Default"/>
              <w:jc w:val="center"/>
              <w:rPr>
                <w:color w:val="auto"/>
              </w:rPr>
            </w:pPr>
            <w:r w:rsidRPr="00190574">
              <w:rPr>
                <w:color w:val="auto"/>
              </w:rPr>
              <w:t>1,014</w:t>
            </w:r>
          </w:p>
        </w:tc>
      </w:tr>
      <w:tr w:rsidR="00F346E7" w:rsidRPr="00190574" w:rsidTr="00F346E7">
        <w:trPr>
          <w:trHeight w:val="157"/>
          <w:jc w:val="center"/>
        </w:trPr>
        <w:tc>
          <w:tcPr>
            <w:tcW w:w="1584" w:type="dxa"/>
          </w:tcPr>
          <w:p w:rsidR="00F346E7" w:rsidRPr="00190574" w:rsidRDefault="00F346E7" w:rsidP="00F346E7">
            <w:pPr>
              <w:pStyle w:val="Default"/>
              <w:jc w:val="center"/>
              <w:rPr>
                <w:color w:val="auto"/>
              </w:rPr>
            </w:pPr>
            <w:r w:rsidRPr="00190574">
              <w:rPr>
                <w:color w:val="auto"/>
              </w:rPr>
              <w:t xml:space="preserve">23 </w:t>
            </w:r>
          </w:p>
        </w:tc>
        <w:tc>
          <w:tcPr>
            <w:tcW w:w="1530" w:type="dxa"/>
          </w:tcPr>
          <w:p w:rsidR="00F346E7" w:rsidRPr="00190574" w:rsidRDefault="00F346E7" w:rsidP="00F346E7">
            <w:pPr>
              <w:pStyle w:val="Default"/>
              <w:jc w:val="center"/>
              <w:rPr>
                <w:color w:val="auto"/>
              </w:rPr>
            </w:pPr>
            <w:r w:rsidRPr="00190574">
              <w:rPr>
                <w:color w:val="auto"/>
              </w:rPr>
              <w:t xml:space="preserve">031 </w:t>
            </w:r>
          </w:p>
        </w:tc>
        <w:tc>
          <w:tcPr>
            <w:tcW w:w="1530" w:type="dxa"/>
          </w:tcPr>
          <w:p w:rsidR="00F346E7" w:rsidRPr="00190574" w:rsidRDefault="00F346E7" w:rsidP="00F346E7">
            <w:pPr>
              <w:pStyle w:val="Default"/>
              <w:jc w:val="center"/>
              <w:rPr>
                <w:color w:val="auto"/>
              </w:rPr>
            </w:pPr>
            <w:r w:rsidRPr="00190574">
              <w:rPr>
                <w:color w:val="auto"/>
              </w:rPr>
              <w:t xml:space="preserve">31---- </w:t>
            </w:r>
          </w:p>
        </w:tc>
        <w:tc>
          <w:tcPr>
            <w:tcW w:w="1530" w:type="dxa"/>
          </w:tcPr>
          <w:p w:rsidR="00F346E7" w:rsidRPr="00190574" w:rsidRDefault="00F346E7" w:rsidP="00F346E7">
            <w:pPr>
              <w:pStyle w:val="Default"/>
              <w:jc w:val="right"/>
              <w:rPr>
                <w:color w:val="auto"/>
              </w:rPr>
            </w:pPr>
          </w:p>
        </w:tc>
        <w:tc>
          <w:tcPr>
            <w:tcW w:w="1674" w:type="dxa"/>
          </w:tcPr>
          <w:p w:rsidR="00F346E7" w:rsidRPr="00190574" w:rsidRDefault="00F346E7" w:rsidP="00F346E7">
            <w:pPr>
              <w:pStyle w:val="Default"/>
              <w:jc w:val="center"/>
              <w:rPr>
                <w:color w:val="auto"/>
              </w:rPr>
            </w:pPr>
            <w:r w:rsidRPr="00190574">
              <w:rPr>
                <w:color w:val="auto"/>
              </w:rPr>
              <w:t>9,749</w:t>
            </w:r>
          </w:p>
        </w:tc>
      </w:tr>
    </w:tbl>
    <w:p w:rsidR="00F346E7" w:rsidRPr="00190574" w:rsidRDefault="00F346E7" w:rsidP="00F346E7">
      <w:pPr>
        <w:pStyle w:val="Default"/>
        <w:rPr>
          <w:color w:val="auto"/>
        </w:rPr>
      </w:pPr>
    </w:p>
    <w:p w:rsidR="00F346E7" w:rsidRPr="00190574" w:rsidRDefault="00F346E7" w:rsidP="00712B9B">
      <w:pPr>
        <w:pStyle w:val="Default"/>
        <w:numPr>
          <w:ilvl w:val="0"/>
          <w:numId w:val="37"/>
        </w:numPr>
        <w:rPr>
          <w:color w:val="auto"/>
        </w:rPr>
      </w:pPr>
      <w:r w:rsidRPr="00190574">
        <w:rPr>
          <w:color w:val="auto"/>
        </w:rPr>
        <w:t xml:space="preserve">The total of employees not including counties 015 and 023 is 52,801. </w:t>
      </w:r>
    </w:p>
    <w:p w:rsidR="00F346E7" w:rsidRPr="00190574" w:rsidRDefault="00F346E7" w:rsidP="00712B9B">
      <w:pPr>
        <w:pStyle w:val="Default"/>
        <w:numPr>
          <w:ilvl w:val="0"/>
          <w:numId w:val="37"/>
        </w:numPr>
        <w:rPr>
          <w:color w:val="auto"/>
        </w:rPr>
      </w:pPr>
      <w:r w:rsidRPr="00190574">
        <w:rPr>
          <w:i/>
          <w:iCs/>
          <w:color w:val="auto"/>
        </w:rPr>
        <w:t xml:space="preserve">County Business Patterns </w:t>
      </w:r>
      <w:r w:rsidRPr="00190574">
        <w:rPr>
          <w:color w:val="auto"/>
        </w:rPr>
        <w:t xml:space="preserve">reports 59,322 state employees in NAICS 31—the difference is 6,521. </w:t>
      </w:r>
    </w:p>
    <w:p w:rsidR="00F346E7" w:rsidRPr="00190574" w:rsidRDefault="00F346E7" w:rsidP="00712B9B">
      <w:pPr>
        <w:pStyle w:val="Default"/>
        <w:numPr>
          <w:ilvl w:val="0"/>
          <w:numId w:val="37"/>
        </w:numPr>
        <w:rPr>
          <w:color w:val="auto"/>
        </w:rPr>
      </w:pPr>
      <w:r w:rsidRPr="00190574">
        <w:rPr>
          <w:color w:val="auto"/>
        </w:rPr>
        <w:t xml:space="preserve">County 015 is given a midpoint of 1,750 (since range code F is 1,000-2,499) and County 023 is given a midpoint of 17,500. </w:t>
      </w:r>
    </w:p>
    <w:p w:rsidR="00F346E7" w:rsidRPr="00190574" w:rsidRDefault="00F346E7" w:rsidP="00712B9B">
      <w:pPr>
        <w:pStyle w:val="Default"/>
        <w:numPr>
          <w:ilvl w:val="0"/>
          <w:numId w:val="37"/>
        </w:numPr>
        <w:rPr>
          <w:color w:val="auto"/>
        </w:rPr>
      </w:pPr>
      <w:r w:rsidRPr="00190574">
        <w:rPr>
          <w:color w:val="auto"/>
        </w:rPr>
        <w:t xml:space="preserve">State total for these two counties is 19,250. </w:t>
      </w:r>
    </w:p>
    <w:p w:rsidR="00F346E7" w:rsidRPr="00190574" w:rsidRDefault="00F346E7" w:rsidP="00712B9B">
      <w:pPr>
        <w:pStyle w:val="Default"/>
        <w:numPr>
          <w:ilvl w:val="0"/>
          <w:numId w:val="37"/>
        </w:numPr>
        <w:spacing w:after="240"/>
        <w:rPr>
          <w:color w:val="auto"/>
        </w:rPr>
      </w:pPr>
      <w:r w:rsidRPr="00190574">
        <w:rPr>
          <w:color w:val="auto"/>
        </w:rPr>
        <w:t xml:space="preserve">6,521/19,250 = 0.33875. </w:t>
      </w:r>
    </w:p>
    <w:p w:rsidR="00F346E7" w:rsidRPr="00190574" w:rsidRDefault="00F346E7" w:rsidP="00712B9B">
      <w:pPr>
        <w:spacing w:after="240" w:line="264" w:lineRule="auto"/>
        <w:ind w:firstLine="0"/>
        <w:rPr>
          <w:rFonts w:ascii="Times New Roman" w:hAnsi="Times New Roman"/>
          <w:sz w:val="24"/>
        </w:rPr>
      </w:pPr>
      <w:r w:rsidRPr="00190574">
        <w:rPr>
          <w:rFonts w:ascii="Times New Roman" w:hAnsi="Times New Roman"/>
          <w:sz w:val="24"/>
        </w:rPr>
        <w:t>The final employment estimate for county 015 is 1,750 x 0.33875 = 593. The county 023 final employment estimate is computed as 17,500 x 0.33875 = 5,928.</w:t>
      </w:r>
    </w:p>
    <w:p w:rsidR="001C000E" w:rsidRPr="00190574" w:rsidRDefault="008E371B" w:rsidP="008E371B">
      <w:pPr>
        <w:pStyle w:val="Heading1ES"/>
        <w:rPr>
          <w:rFonts w:ascii="Times New Roman" w:hAnsi="Times New Roman"/>
          <w:color w:val="auto"/>
          <w:szCs w:val="28"/>
        </w:rPr>
      </w:pPr>
      <w:bookmarkStart w:id="28" w:name="_Toc484000169"/>
      <w:r w:rsidRPr="00190574">
        <w:rPr>
          <w:rFonts w:ascii="Times New Roman" w:hAnsi="Times New Roman"/>
          <w:color w:val="auto"/>
          <w:szCs w:val="28"/>
        </w:rPr>
        <w:lastRenderedPageBreak/>
        <w:t>6</w:t>
      </w:r>
      <w:r w:rsidR="001C000E" w:rsidRPr="00190574">
        <w:rPr>
          <w:rFonts w:ascii="Times New Roman" w:hAnsi="Times New Roman"/>
          <w:color w:val="auto"/>
          <w:szCs w:val="28"/>
        </w:rPr>
        <w:t xml:space="preserve">. </w:t>
      </w:r>
      <w:r w:rsidRPr="00190574">
        <w:rPr>
          <w:rFonts w:ascii="Times New Roman" w:hAnsi="Times New Roman"/>
          <w:color w:val="auto"/>
          <w:szCs w:val="28"/>
        </w:rPr>
        <w:t>Emission Factors</w:t>
      </w:r>
      <w:bookmarkEnd w:id="28"/>
    </w:p>
    <w:p w:rsidR="00E36155" w:rsidRPr="00190574" w:rsidRDefault="006100DB" w:rsidP="00A17563">
      <w:pPr>
        <w:pStyle w:val="Default"/>
        <w:spacing w:after="180" w:line="264" w:lineRule="auto"/>
        <w:rPr>
          <w:color w:val="auto"/>
        </w:rPr>
      </w:pPr>
      <w:r w:rsidRPr="00190574">
        <w:rPr>
          <w:color w:val="auto"/>
          <w:highlight w:val="yellow"/>
        </w:rPr>
        <w:fldChar w:fldCharType="begin"/>
      </w:r>
      <w:r w:rsidRPr="00190574">
        <w:rPr>
          <w:color w:val="auto"/>
          <w:highlight w:val="yellow"/>
        </w:rPr>
        <w:instrText xml:space="preserve"> REF _Ref416181044 \h  \* MERGEFORMAT </w:instrText>
      </w:r>
      <w:r w:rsidRPr="00190574">
        <w:rPr>
          <w:color w:val="auto"/>
          <w:highlight w:val="yellow"/>
        </w:rPr>
      </w:r>
      <w:r w:rsidRPr="00190574">
        <w:rPr>
          <w:color w:val="auto"/>
          <w:highlight w:val="yellow"/>
        </w:rPr>
        <w:fldChar w:fldCharType="separate"/>
      </w:r>
      <w:r w:rsidR="0021591B" w:rsidRPr="00190574">
        <w:rPr>
          <w:color w:val="auto"/>
        </w:rPr>
        <w:t>Table A-3</w:t>
      </w:r>
      <w:r w:rsidRPr="00190574">
        <w:rPr>
          <w:color w:val="auto"/>
          <w:highlight w:val="yellow"/>
        </w:rPr>
        <w:fldChar w:fldCharType="end"/>
      </w:r>
      <w:r w:rsidRPr="00190574">
        <w:rPr>
          <w:color w:val="auto"/>
        </w:rPr>
        <w:t xml:space="preserve"> </w:t>
      </w:r>
      <w:r w:rsidR="00827282" w:rsidRPr="00190574">
        <w:rPr>
          <w:color w:val="auto"/>
        </w:rPr>
        <w:t>list</w:t>
      </w:r>
      <w:r w:rsidRPr="00190574">
        <w:rPr>
          <w:color w:val="auto"/>
        </w:rPr>
        <w:t>s</w:t>
      </w:r>
      <w:r w:rsidR="00827282" w:rsidRPr="00190574">
        <w:rPr>
          <w:color w:val="auto"/>
        </w:rPr>
        <w:t xml:space="preserve"> the criteria pollutant emissions factors used in the ICI Combustion Tool. </w:t>
      </w:r>
      <w:r w:rsidR="005B1853" w:rsidRPr="00190574">
        <w:rPr>
          <w:color w:val="auto"/>
        </w:rPr>
        <w:t xml:space="preserve">The </w:t>
      </w:r>
      <w:r w:rsidR="00E36155" w:rsidRPr="00190574">
        <w:rPr>
          <w:color w:val="auto"/>
        </w:rPr>
        <w:t xml:space="preserve">criteria and hazardous air pollutant emission factors for each nonpoint source fuel combustion category </w:t>
      </w:r>
      <w:r w:rsidR="005B1853" w:rsidRPr="00190574">
        <w:rPr>
          <w:color w:val="auto"/>
        </w:rPr>
        <w:t>included in the ICI Combustion Tool are primarily EPA emission factors</w:t>
      </w:r>
      <w:r w:rsidR="00E36155" w:rsidRPr="00190574">
        <w:rPr>
          <w:color w:val="auto"/>
        </w:rPr>
        <w:t xml:space="preserve">. The majority of the emission factors are from the EPA/ERTAC2 database and EPA’s </w:t>
      </w:r>
      <w:r w:rsidR="00E36155" w:rsidRPr="00190574">
        <w:rPr>
          <w:i/>
          <w:iCs/>
          <w:color w:val="auto"/>
        </w:rPr>
        <w:t xml:space="preserve">AP-42 </w:t>
      </w:r>
      <w:r w:rsidR="00E36155" w:rsidRPr="00190574">
        <w:rPr>
          <w:color w:val="auto"/>
        </w:rPr>
        <w:t xml:space="preserve">report, Compilation of Air Pollutant Emission Factors (Huntley, 2009; EPA, 2010). The ammonia emission factors for wood combustion are from an Emission Inventory Improvement Program (EIIP) guidance document (EPA, 2004). </w:t>
      </w:r>
    </w:p>
    <w:p w:rsidR="00371A26" w:rsidRPr="00190574" w:rsidRDefault="00E36155" w:rsidP="00A17563">
      <w:pPr>
        <w:spacing w:after="180" w:line="264" w:lineRule="auto"/>
        <w:ind w:firstLine="0"/>
        <w:rPr>
          <w:rFonts w:ascii="Times New Roman" w:hAnsi="Times New Roman"/>
          <w:sz w:val="24"/>
        </w:rPr>
      </w:pPr>
      <w:r w:rsidRPr="00190574">
        <w:rPr>
          <w:rFonts w:ascii="Times New Roman" w:hAnsi="Times New Roman"/>
          <w:sz w:val="24"/>
        </w:rPr>
        <w:t>For coal combustion, the SO</w:t>
      </w:r>
      <w:r w:rsidRPr="00190574">
        <w:rPr>
          <w:rFonts w:ascii="Times New Roman" w:hAnsi="Times New Roman"/>
          <w:sz w:val="24"/>
          <w:vertAlign w:val="subscript"/>
        </w:rPr>
        <w:t>2</w:t>
      </w:r>
      <w:r w:rsidRPr="00190574">
        <w:rPr>
          <w:rFonts w:ascii="Times New Roman" w:hAnsi="Times New Roman"/>
          <w:sz w:val="24"/>
        </w:rPr>
        <w:t xml:space="preserve"> emission factors are based on the sulfur content of the coal burned, and some of the PM emission factors for anthracite coal require information on the ash content of the coal. For the industrial and commercial/institutional sectors, state-specific coal sulfur contents for bituminous coal </w:t>
      </w:r>
      <w:r w:rsidR="005B1853" w:rsidRPr="00190574">
        <w:rPr>
          <w:rFonts w:ascii="Times New Roman" w:hAnsi="Times New Roman"/>
          <w:sz w:val="24"/>
        </w:rPr>
        <w:t>are</w:t>
      </w:r>
      <w:r w:rsidRPr="00190574">
        <w:rPr>
          <w:rFonts w:ascii="Times New Roman" w:hAnsi="Times New Roman"/>
          <w:sz w:val="24"/>
        </w:rPr>
        <w:t xml:space="preserve"> obtained from the EIA’s quarterly coal report (EIA, 2012). For anthracite coal, an ash content value of 13.38% and a sulfur content of 0.89% </w:t>
      </w:r>
      <w:r w:rsidR="00CD174D" w:rsidRPr="00190574">
        <w:rPr>
          <w:rFonts w:ascii="Times New Roman" w:hAnsi="Times New Roman"/>
          <w:sz w:val="24"/>
        </w:rPr>
        <w:t>are applied to all states</w:t>
      </w:r>
      <w:r w:rsidR="001C000E" w:rsidRPr="00190574">
        <w:rPr>
          <w:rFonts w:ascii="Times New Roman" w:hAnsi="Times New Roman"/>
          <w:sz w:val="24"/>
        </w:rPr>
        <w:t>.</w:t>
      </w:r>
    </w:p>
    <w:p w:rsidR="00371A26" w:rsidRPr="00190574" w:rsidRDefault="00371A26" w:rsidP="00A17563">
      <w:pPr>
        <w:spacing w:after="180" w:line="264" w:lineRule="auto"/>
        <w:ind w:firstLine="0"/>
        <w:rPr>
          <w:rFonts w:ascii="Times New Roman" w:hAnsi="Times New Roman"/>
          <w:sz w:val="24"/>
        </w:rPr>
      </w:pPr>
      <w:r w:rsidRPr="00190574">
        <w:rPr>
          <w:rFonts w:ascii="Times New Roman" w:hAnsi="Times New Roman"/>
          <w:sz w:val="24"/>
        </w:rPr>
        <w:t>In the ICI Tool, users may edit the assumptions about the sulfur and ash content of fuels, using the form “Sulfur and Ash Content of Fuels” from the “Edit Assumptions” form. Assumptions about sulfur content can be adjusted at the state level for bituminous/subbituminous coal, anthracite coal, residual oil, and distillate oil. Sulfur content assumptions can also be adjusted at the county level for distillate oil. Assumptions about ash content can be adjusted at the state level for anthracite coal.</w:t>
      </w:r>
    </w:p>
    <w:p w:rsidR="00A74EB8" w:rsidRPr="00190574" w:rsidRDefault="00371A26" w:rsidP="00A17563">
      <w:pPr>
        <w:spacing w:after="180" w:line="264" w:lineRule="auto"/>
        <w:ind w:firstLine="0"/>
        <w:rPr>
          <w:rFonts w:ascii="Times New Roman" w:hAnsi="Times New Roman"/>
          <w:sz w:val="24"/>
        </w:rPr>
      </w:pPr>
      <w:r w:rsidRPr="00190574">
        <w:rPr>
          <w:rFonts w:ascii="Times New Roman" w:hAnsi="Times New Roman"/>
          <w:sz w:val="24"/>
        </w:rPr>
        <w:t>In addition, users may also add user defined control efficiencies for each SCC in each county, using the “Control Effi</w:t>
      </w:r>
      <w:r w:rsidR="00A74EB8" w:rsidRPr="00190574">
        <w:rPr>
          <w:rFonts w:ascii="Times New Roman" w:hAnsi="Times New Roman"/>
          <w:sz w:val="24"/>
        </w:rPr>
        <w:t>ciencies for Nonpoint SCCs” table, which can be accessed from the “Edit Assumptions” form. Control efficiencies entered into this table will be used to adjust the final reported emissions using the following equation:</w:t>
      </w:r>
    </w:p>
    <w:p w:rsidR="00A74EB8" w:rsidRPr="00190574" w:rsidRDefault="00190574" w:rsidP="00A17563">
      <w:pPr>
        <w:spacing w:after="180" w:line="264" w:lineRule="auto"/>
        <w:ind w:firstLine="0"/>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Controlled Nonpoint Emissions</m:t>
              </m:r>
            </m:e>
            <m:sub>
              <m:r>
                <w:rPr>
                  <w:rFonts w:ascii="Cambria Math" w:hAnsi="Cambria Math"/>
                  <w:sz w:val="24"/>
                </w:rPr>
                <m:t>s,c</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Uncontrolled Nonpoint Emissions</m:t>
              </m:r>
            </m:e>
            <m:sub>
              <m:r>
                <w:rPr>
                  <w:rFonts w:ascii="Cambria Math" w:hAnsi="Cambria Math"/>
                  <w:sz w:val="24"/>
                </w:rPr>
                <m:t>s,c</m:t>
              </m:r>
            </m:sub>
          </m:sSub>
          <m:r>
            <w:rPr>
              <w:rFonts w:ascii="Cambria Math" w:hAnsi="Cambria Math"/>
              <w:sz w:val="24"/>
            </w:rPr>
            <m:t xml:space="preserve"> ×(1-</m:t>
          </m:r>
          <m:sSub>
            <m:sSubPr>
              <m:ctrlPr>
                <w:rPr>
                  <w:rFonts w:ascii="Cambria Math" w:hAnsi="Cambria Math"/>
                  <w:i/>
                  <w:sz w:val="24"/>
                </w:rPr>
              </m:ctrlPr>
            </m:sSubPr>
            <m:e>
              <m:r>
                <w:rPr>
                  <w:rFonts w:ascii="Cambria Math" w:hAnsi="Cambria Math"/>
                  <w:sz w:val="24"/>
                </w:rPr>
                <m:t>Control Efficiency</m:t>
              </m:r>
            </m:e>
            <m:sub>
              <m:r>
                <w:rPr>
                  <w:rFonts w:ascii="Cambria Math" w:hAnsi="Cambria Math"/>
                  <w:sz w:val="24"/>
                </w:rPr>
                <m:t>s,c</m:t>
              </m:r>
            </m:sub>
          </m:sSub>
          <m:r>
            <w:rPr>
              <w:rFonts w:ascii="Cambria Math" w:hAnsi="Cambria Math"/>
              <w:sz w:val="24"/>
            </w:rPr>
            <m:t>)</m:t>
          </m:r>
        </m:oMath>
      </m:oMathPara>
    </w:p>
    <w:p w:rsidR="00A74EB8" w:rsidRPr="00190574" w:rsidRDefault="00A74EB8" w:rsidP="00A17563">
      <w:pPr>
        <w:spacing w:after="180" w:line="264" w:lineRule="auto"/>
        <w:ind w:firstLine="0"/>
        <w:rPr>
          <w:rFonts w:ascii="Times New Roman" w:hAnsi="Times New Roman"/>
          <w:sz w:val="24"/>
        </w:rPr>
      </w:pPr>
    </w:p>
    <w:p w:rsidR="001D0850" w:rsidRPr="00190574" w:rsidRDefault="001D0850" w:rsidP="00A17563">
      <w:pPr>
        <w:spacing w:after="180" w:line="264" w:lineRule="auto"/>
        <w:ind w:firstLine="0"/>
        <w:rPr>
          <w:rFonts w:ascii="Times New Roman" w:hAnsi="Times New Roman"/>
          <w:sz w:val="24"/>
        </w:rPr>
      </w:pPr>
      <w:r w:rsidRPr="00190574">
        <w:rPr>
          <w:rFonts w:ascii="Times New Roman" w:hAnsi="Times New Roman"/>
          <w:sz w:val="24"/>
        </w:rPr>
        <w:t xml:space="preserve">Where </w:t>
      </w:r>
      <w:r w:rsidRPr="00190574">
        <w:rPr>
          <w:rFonts w:ascii="Times New Roman" w:hAnsi="Times New Roman"/>
          <w:i/>
          <w:sz w:val="24"/>
        </w:rPr>
        <w:t>Controlled Nonpoint Emissions</w:t>
      </w:r>
      <w:r w:rsidRPr="00190574">
        <w:rPr>
          <w:rFonts w:ascii="Times New Roman" w:hAnsi="Times New Roman"/>
          <w:sz w:val="24"/>
        </w:rPr>
        <w:t xml:space="preserve"> are the final reported nonpoint emissions, </w:t>
      </w:r>
      <w:r w:rsidRPr="00190574">
        <w:rPr>
          <w:rFonts w:ascii="Times New Roman" w:hAnsi="Times New Roman"/>
          <w:i/>
          <w:sz w:val="24"/>
        </w:rPr>
        <w:t>Uncontrolled Nonpoint Emissions</w:t>
      </w:r>
      <w:r w:rsidRPr="00190574">
        <w:rPr>
          <w:rFonts w:ascii="Times New Roman" w:hAnsi="Times New Roman"/>
          <w:sz w:val="24"/>
        </w:rPr>
        <w:t xml:space="preserve"> are the emissions estimated after point source subtraction but before the application of the control efficiency, </w:t>
      </w:r>
      <w:r w:rsidRPr="00190574">
        <w:rPr>
          <w:rFonts w:ascii="Times New Roman" w:hAnsi="Times New Roman"/>
          <w:i/>
          <w:sz w:val="24"/>
        </w:rPr>
        <w:t>Control Efficiency</w:t>
      </w:r>
      <w:r w:rsidRPr="00190574">
        <w:rPr>
          <w:rFonts w:ascii="Times New Roman" w:hAnsi="Times New Roman"/>
          <w:sz w:val="24"/>
        </w:rPr>
        <w:t xml:space="preserve"> is the user-supplied control efficiency, </w:t>
      </w:r>
      <w:r w:rsidRPr="00190574">
        <w:rPr>
          <w:rFonts w:ascii="Times New Roman" w:hAnsi="Times New Roman"/>
          <w:i/>
          <w:sz w:val="24"/>
        </w:rPr>
        <w:t>s</w:t>
      </w:r>
      <w:r w:rsidRPr="00190574">
        <w:rPr>
          <w:rFonts w:ascii="Times New Roman" w:hAnsi="Times New Roman"/>
          <w:sz w:val="24"/>
        </w:rPr>
        <w:t xml:space="preserve"> is SCC, and </w:t>
      </w:r>
      <w:r w:rsidRPr="00190574">
        <w:rPr>
          <w:rFonts w:ascii="Times New Roman" w:hAnsi="Times New Roman"/>
          <w:i/>
          <w:sz w:val="24"/>
        </w:rPr>
        <w:t>c</w:t>
      </w:r>
      <w:r w:rsidRPr="00190574">
        <w:rPr>
          <w:rFonts w:ascii="Times New Roman" w:hAnsi="Times New Roman"/>
          <w:sz w:val="24"/>
        </w:rPr>
        <w:t xml:space="preserve"> is county.</w:t>
      </w:r>
    </w:p>
    <w:p w:rsidR="00371A26" w:rsidRPr="00190574" w:rsidRDefault="00A74EB8" w:rsidP="00A17563">
      <w:pPr>
        <w:spacing w:after="180" w:line="264" w:lineRule="auto"/>
        <w:ind w:firstLine="0"/>
        <w:rPr>
          <w:rFonts w:ascii="Times New Roman" w:hAnsi="Times New Roman"/>
          <w:sz w:val="24"/>
        </w:rPr>
        <w:sectPr w:rsidR="00371A26" w:rsidRPr="00190574" w:rsidSect="006629C8">
          <w:headerReference w:type="default" r:id="rId20"/>
          <w:pgSz w:w="12240" w:h="15840"/>
          <w:pgMar w:top="1440" w:right="1440" w:bottom="1440" w:left="1440" w:header="720" w:footer="720" w:gutter="0"/>
          <w:cols w:space="360"/>
          <w:docGrid w:linePitch="360"/>
        </w:sectPr>
      </w:pPr>
      <w:r w:rsidRPr="00190574">
        <w:rPr>
          <w:rFonts w:ascii="Times New Roman" w:hAnsi="Times New Roman"/>
          <w:sz w:val="24"/>
        </w:rPr>
        <w:t>Note that the control efficiency must be a number between 0 and 1. The default control efficiencies in the tool are 0 for all counties and SCCs.</w:t>
      </w:r>
    </w:p>
    <w:p w:rsidR="001C000E" w:rsidRPr="00190574" w:rsidRDefault="008E371B" w:rsidP="008E371B">
      <w:pPr>
        <w:pStyle w:val="Heading1ES"/>
        <w:rPr>
          <w:rFonts w:ascii="Times New Roman" w:hAnsi="Times New Roman"/>
          <w:color w:val="auto"/>
          <w:szCs w:val="28"/>
        </w:rPr>
      </w:pPr>
      <w:bookmarkStart w:id="29" w:name="_Toc484000170"/>
      <w:r w:rsidRPr="00190574">
        <w:rPr>
          <w:rFonts w:ascii="Times New Roman" w:hAnsi="Times New Roman"/>
          <w:color w:val="auto"/>
          <w:szCs w:val="28"/>
        </w:rPr>
        <w:lastRenderedPageBreak/>
        <w:t>7</w:t>
      </w:r>
      <w:r w:rsidR="001C000E" w:rsidRPr="00190574">
        <w:rPr>
          <w:rFonts w:ascii="Times New Roman" w:hAnsi="Times New Roman"/>
          <w:color w:val="auto"/>
          <w:szCs w:val="28"/>
        </w:rPr>
        <w:t xml:space="preserve">. </w:t>
      </w:r>
      <w:r w:rsidRPr="00190574">
        <w:rPr>
          <w:rFonts w:ascii="Times New Roman" w:hAnsi="Times New Roman"/>
          <w:color w:val="auto"/>
          <w:szCs w:val="28"/>
        </w:rPr>
        <w:t>Running the ICI Tool</w:t>
      </w:r>
      <w:bookmarkEnd w:id="29"/>
    </w:p>
    <w:p w:rsidR="001C000E" w:rsidRPr="00190574" w:rsidRDefault="00E9539D" w:rsidP="008E371B">
      <w:pPr>
        <w:spacing w:after="180" w:line="264" w:lineRule="auto"/>
        <w:ind w:firstLine="0"/>
        <w:rPr>
          <w:rFonts w:ascii="Times New Roman" w:hAnsi="Times New Roman"/>
          <w:sz w:val="24"/>
        </w:rPr>
      </w:pPr>
      <w:r w:rsidRPr="00190574">
        <w:rPr>
          <w:rFonts w:ascii="Times New Roman" w:hAnsi="Times New Roman"/>
          <w:sz w:val="24"/>
        </w:rPr>
        <w:t>The ICI Combustion Tool includes a user-friendly graphical interface that walks the user through the development of their nonpoint ICI combustion emissions inventory</w:t>
      </w:r>
      <w:r w:rsidR="001C000E" w:rsidRPr="00190574">
        <w:rPr>
          <w:rFonts w:ascii="Times New Roman" w:hAnsi="Times New Roman"/>
          <w:sz w:val="24"/>
        </w:rPr>
        <w:t>.</w:t>
      </w:r>
      <w:r w:rsidRPr="00190574">
        <w:rPr>
          <w:rFonts w:ascii="Times New Roman" w:hAnsi="Times New Roman"/>
          <w:sz w:val="24"/>
        </w:rPr>
        <w:t xml:space="preserve"> The ICI Combustion Tool allows the user to select the state(s) of interest, import state- or county-level point source inventory data, modify the default assumptions used in the Tool, and export their final nonpoint ICI emissions inventory in EIS staging </w:t>
      </w:r>
      <w:r w:rsidR="00706C76" w:rsidRPr="00190574">
        <w:rPr>
          <w:rFonts w:ascii="Times New Roman" w:hAnsi="Times New Roman"/>
          <w:sz w:val="24"/>
        </w:rPr>
        <w:t xml:space="preserve">table </w:t>
      </w:r>
      <w:r w:rsidRPr="00190574">
        <w:rPr>
          <w:rFonts w:ascii="Times New Roman" w:hAnsi="Times New Roman"/>
          <w:sz w:val="24"/>
        </w:rPr>
        <w:t>format. Figures 1 through 5 below show snapshots of the user interface.</w:t>
      </w:r>
    </w:p>
    <w:p w:rsidR="00C5735F" w:rsidRPr="00190574" w:rsidRDefault="00C5735F" w:rsidP="00323F60">
      <w:pPr>
        <w:keepNext/>
        <w:spacing w:line="264" w:lineRule="auto"/>
        <w:ind w:firstLine="0"/>
        <w:jc w:val="center"/>
        <w:rPr>
          <w:sz w:val="24"/>
        </w:rPr>
      </w:pPr>
      <w:r w:rsidRPr="00190574">
        <w:rPr>
          <w:rFonts w:ascii="Times New Roman" w:hAnsi="Times New Roman"/>
          <w:b/>
          <w:noProof/>
          <w:sz w:val="24"/>
        </w:rPr>
        <w:drawing>
          <wp:inline distT="0" distB="0" distL="0" distR="0" wp14:anchorId="4FA1CDB6" wp14:editId="0D5D9E48">
            <wp:extent cx="3638550" cy="3195782"/>
            <wp:effectExtent l="0" t="0" r="0" b="5080"/>
            <wp:docPr id="17" name="Picture 17" descr="Figure 1. Snapshot of state selection inter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e Selection.png"/>
                    <pic:cNvPicPr/>
                  </pic:nvPicPr>
                  <pic:blipFill>
                    <a:blip r:embed="rId21">
                      <a:extLst>
                        <a:ext uri="{28A0092B-C50C-407E-A947-70E740481C1C}">
                          <a14:useLocalDpi xmlns:a14="http://schemas.microsoft.com/office/drawing/2010/main" val="0"/>
                        </a:ext>
                      </a:extLst>
                    </a:blip>
                    <a:stretch>
                      <a:fillRect/>
                    </a:stretch>
                  </pic:blipFill>
                  <pic:spPr>
                    <a:xfrm>
                      <a:off x="0" y="0"/>
                      <a:ext cx="3638993" cy="3196171"/>
                    </a:xfrm>
                    <a:prstGeom prst="rect">
                      <a:avLst/>
                    </a:prstGeom>
                  </pic:spPr>
                </pic:pic>
              </a:graphicData>
            </a:graphic>
          </wp:inline>
        </w:drawing>
      </w:r>
    </w:p>
    <w:p w:rsidR="00C5735F" w:rsidRPr="00190574" w:rsidRDefault="00C5735F" w:rsidP="00323F60">
      <w:pPr>
        <w:pStyle w:val="Caption"/>
        <w:spacing w:before="0" w:after="0"/>
        <w:jc w:val="center"/>
        <w:rPr>
          <w:rFonts w:ascii="Times New Roman" w:hAnsi="Times New Roman"/>
          <w:b w:val="0"/>
          <w:sz w:val="24"/>
          <w:szCs w:val="24"/>
        </w:rPr>
      </w:pPr>
      <w:bookmarkStart w:id="30" w:name="_Toc484000173"/>
      <w:r w:rsidRPr="00190574">
        <w:rPr>
          <w:rFonts w:ascii="Times New Roman" w:hAnsi="Times New Roman"/>
          <w:sz w:val="24"/>
          <w:szCs w:val="24"/>
        </w:rPr>
        <w:t xml:space="preserve">Figure </w:t>
      </w:r>
      <w:r w:rsidRPr="00190574">
        <w:rPr>
          <w:rFonts w:ascii="Times New Roman" w:hAnsi="Times New Roman"/>
          <w:sz w:val="24"/>
          <w:szCs w:val="24"/>
        </w:rPr>
        <w:fldChar w:fldCharType="begin"/>
      </w:r>
      <w:r w:rsidRPr="00190574">
        <w:rPr>
          <w:rFonts w:ascii="Times New Roman" w:hAnsi="Times New Roman"/>
          <w:sz w:val="24"/>
          <w:szCs w:val="24"/>
        </w:rPr>
        <w:instrText xml:space="preserve"> SEQ Figure \* ARABIC </w:instrText>
      </w:r>
      <w:r w:rsidRPr="00190574">
        <w:rPr>
          <w:rFonts w:ascii="Times New Roman" w:hAnsi="Times New Roman"/>
          <w:sz w:val="24"/>
          <w:szCs w:val="24"/>
        </w:rPr>
        <w:fldChar w:fldCharType="separate"/>
      </w:r>
      <w:r w:rsidR="0021591B" w:rsidRPr="00190574">
        <w:rPr>
          <w:rFonts w:ascii="Times New Roman" w:hAnsi="Times New Roman"/>
          <w:noProof/>
          <w:sz w:val="24"/>
          <w:szCs w:val="24"/>
        </w:rPr>
        <w:t>1</w:t>
      </w:r>
      <w:r w:rsidRPr="00190574">
        <w:rPr>
          <w:rFonts w:ascii="Times New Roman" w:hAnsi="Times New Roman"/>
          <w:sz w:val="24"/>
          <w:szCs w:val="24"/>
        </w:rPr>
        <w:fldChar w:fldCharType="end"/>
      </w:r>
      <w:r w:rsidRPr="00190574">
        <w:rPr>
          <w:rFonts w:ascii="Times New Roman" w:hAnsi="Times New Roman"/>
          <w:sz w:val="24"/>
          <w:szCs w:val="24"/>
        </w:rPr>
        <w:t xml:space="preserve">. </w:t>
      </w:r>
      <w:r w:rsidRPr="00190574">
        <w:rPr>
          <w:rFonts w:ascii="Times New Roman" w:hAnsi="Times New Roman"/>
          <w:b w:val="0"/>
          <w:sz w:val="24"/>
          <w:szCs w:val="24"/>
        </w:rPr>
        <w:t>Snapshot of state selection interface</w:t>
      </w:r>
      <w:bookmarkEnd w:id="30"/>
    </w:p>
    <w:p w:rsidR="001F0E96" w:rsidRPr="00190574" w:rsidRDefault="001F0E96" w:rsidP="001F0E96">
      <w:pPr>
        <w:rPr>
          <w:sz w:val="24"/>
        </w:rPr>
      </w:pPr>
    </w:p>
    <w:p w:rsidR="00C5735F" w:rsidRPr="00190574" w:rsidRDefault="00E50078" w:rsidP="00323F60">
      <w:pPr>
        <w:keepNext/>
        <w:ind w:firstLine="0"/>
        <w:jc w:val="center"/>
        <w:rPr>
          <w:sz w:val="24"/>
        </w:rPr>
      </w:pPr>
      <w:r w:rsidRPr="00190574">
        <w:rPr>
          <w:noProof/>
          <w:sz w:val="24"/>
        </w:rPr>
        <w:drawing>
          <wp:inline distT="0" distB="0" distL="0" distR="0" wp14:anchorId="5B8DD77E" wp14:editId="6B90E479">
            <wp:extent cx="3667125" cy="2461291"/>
            <wp:effectExtent l="19050" t="19050" r="9525" b="15240"/>
            <wp:docPr id="26" name="Picture 26" descr="Figure 2. Snapshot of point source activity data import inter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rfile01\redirected$\shuldinere\Desktop\Tools\Tool screenshots\ICI4.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64646" cy="2459627"/>
                    </a:xfrm>
                    <a:prstGeom prst="rect">
                      <a:avLst/>
                    </a:prstGeom>
                    <a:noFill/>
                    <a:ln>
                      <a:solidFill>
                        <a:schemeClr val="tx1"/>
                      </a:solidFill>
                    </a:ln>
                  </pic:spPr>
                </pic:pic>
              </a:graphicData>
            </a:graphic>
          </wp:inline>
        </w:drawing>
      </w:r>
    </w:p>
    <w:p w:rsidR="00E50078" w:rsidRPr="00190574" w:rsidRDefault="00E50078" w:rsidP="00323F60">
      <w:pPr>
        <w:keepNext/>
        <w:ind w:firstLine="0"/>
        <w:jc w:val="center"/>
        <w:rPr>
          <w:sz w:val="24"/>
        </w:rPr>
      </w:pPr>
    </w:p>
    <w:p w:rsidR="00C5735F" w:rsidRPr="00190574" w:rsidRDefault="00C5735F" w:rsidP="00323F60">
      <w:pPr>
        <w:pStyle w:val="Caption"/>
        <w:spacing w:before="0" w:after="0"/>
        <w:jc w:val="center"/>
        <w:rPr>
          <w:rFonts w:ascii="Times New Roman" w:hAnsi="Times New Roman"/>
          <w:b w:val="0"/>
          <w:sz w:val="24"/>
          <w:szCs w:val="24"/>
        </w:rPr>
      </w:pPr>
      <w:bookmarkStart w:id="31" w:name="_Toc484000174"/>
      <w:r w:rsidRPr="00190574">
        <w:rPr>
          <w:rFonts w:ascii="Times New Roman" w:hAnsi="Times New Roman"/>
          <w:sz w:val="24"/>
          <w:szCs w:val="24"/>
        </w:rPr>
        <w:t xml:space="preserve">Figure </w:t>
      </w:r>
      <w:r w:rsidRPr="00190574">
        <w:rPr>
          <w:rFonts w:ascii="Times New Roman" w:hAnsi="Times New Roman"/>
          <w:sz w:val="24"/>
          <w:szCs w:val="24"/>
        </w:rPr>
        <w:fldChar w:fldCharType="begin"/>
      </w:r>
      <w:r w:rsidRPr="00190574">
        <w:rPr>
          <w:rFonts w:ascii="Times New Roman" w:hAnsi="Times New Roman"/>
          <w:sz w:val="24"/>
          <w:szCs w:val="24"/>
        </w:rPr>
        <w:instrText xml:space="preserve"> SEQ Figure \* ARABIC </w:instrText>
      </w:r>
      <w:r w:rsidRPr="00190574">
        <w:rPr>
          <w:rFonts w:ascii="Times New Roman" w:hAnsi="Times New Roman"/>
          <w:sz w:val="24"/>
          <w:szCs w:val="24"/>
        </w:rPr>
        <w:fldChar w:fldCharType="separate"/>
      </w:r>
      <w:r w:rsidR="0021591B" w:rsidRPr="00190574">
        <w:rPr>
          <w:rFonts w:ascii="Times New Roman" w:hAnsi="Times New Roman"/>
          <w:noProof/>
          <w:sz w:val="24"/>
          <w:szCs w:val="24"/>
        </w:rPr>
        <w:t>2</w:t>
      </w:r>
      <w:r w:rsidRPr="00190574">
        <w:rPr>
          <w:rFonts w:ascii="Times New Roman" w:hAnsi="Times New Roman"/>
          <w:sz w:val="24"/>
          <w:szCs w:val="24"/>
        </w:rPr>
        <w:fldChar w:fldCharType="end"/>
      </w:r>
      <w:r w:rsidRPr="00190574">
        <w:rPr>
          <w:rFonts w:ascii="Times New Roman" w:hAnsi="Times New Roman"/>
          <w:sz w:val="24"/>
          <w:szCs w:val="24"/>
        </w:rPr>
        <w:t xml:space="preserve">. </w:t>
      </w:r>
      <w:r w:rsidRPr="00190574">
        <w:rPr>
          <w:rFonts w:ascii="Times New Roman" w:hAnsi="Times New Roman"/>
          <w:b w:val="0"/>
          <w:sz w:val="24"/>
          <w:szCs w:val="24"/>
        </w:rPr>
        <w:t xml:space="preserve">Snapshot of point source </w:t>
      </w:r>
      <w:r w:rsidR="00E50078" w:rsidRPr="00190574">
        <w:rPr>
          <w:rFonts w:ascii="Times New Roman" w:hAnsi="Times New Roman"/>
          <w:b w:val="0"/>
          <w:sz w:val="24"/>
          <w:szCs w:val="24"/>
        </w:rPr>
        <w:t xml:space="preserve">activity data </w:t>
      </w:r>
      <w:r w:rsidRPr="00190574">
        <w:rPr>
          <w:rFonts w:ascii="Times New Roman" w:hAnsi="Times New Roman"/>
          <w:b w:val="0"/>
          <w:sz w:val="24"/>
          <w:szCs w:val="24"/>
        </w:rPr>
        <w:t>import interface</w:t>
      </w:r>
      <w:bookmarkEnd w:id="31"/>
    </w:p>
    <w:p w:rsidR="00E50078" w:rsidRPr="00190574" w:rsidRDefault="00E50078" w:rsidP="00E50078">
      <w:pPr>
        <w:rPr>
          <w:sz w:val="24"/>
        </w:rPr>
      </w:pPr>
    </w:p>
    <w:p w:rsidR="00E50078" w:rsidRPr="00190574" w:rsidRDefault="00E50078" w:rsidP="00371A26">
      <w:pPr>
        <w:keepNext/>
        <w:jc w:val="center"/>
        <w:rPr>
          <w:sz w:val="24"/>
        </w:rPr>
      </w:pPr>
      <w:r w:rsidRPr="00190574">
        <w:rPr>
          <w:noProof/>
          <w:sz w:val="24"/>
        </w:rPr>
        <w:drawing>
          <wp:inline distT="0" distB="0" distL="0" distR="0" wp14:anchorId="3099DEC8" wp14:editId="1A047CFE">
            <wp:extent cx="4230232" cy="2838450"/>
            <wp:effectExtent l="19050" t="19050" r="18415" b="19050"/>
            <wp:docPr id="684" name="Picture 684" descr="Figure 3. Snapshot of point source emissions data import inter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rfile01\redirected$\shuldinere\Desktop\Tools\Tool screenshots\ICI5.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30201" cy="2838429"/>
                    </a:xfrm>
                    <a:prstGeom prst="rect">
                      <a:avLst/>
                    </a:prstGeom>
                    <a:noFill/>
                    <a:ln>
                      <a:solidFill>
                        <a:schemeClr val="tx1"/>
                      </a:solidFill>
                    </a:ln>
                  </pic:spPr>
                </pic:pic>
              </a:graphicData>
            </a:graphic>
          </wp:inline>
        </w:drawing>
      </w:r>
    </w:p>
    <w:p w:rsidR="00E50078" w:rsidRPr="00190574" w:rsidRDefault="00E50078" w:rsidP="00E50078">
      <w:pPr>
        <w:pStyle w:val="Caption"/>
        <w:jc w:val="center"/>
        <w:rPr>
          <w:rFonts w:ascii="Times New Roman" w:hAnsi="Times New Roman"/>
          <w:b w:val="0"/>
          <w:sz w:val="24"/>
          <w:szCs w:val="24"/>
        </w:rPr>
      </w:pPr>
      <w:bookmarkStart w:id="32" w:name="_Toc484000175"/>
      <w:r w:rsidRPr="00190574">
        <w:rPr>
          <w:rFonts w:ascii="Times New Roman" w:hAnsi="Times New Roman"/>
          <w:sz w:val="24"/>
          <w:szCs w:val="24"/>
        </w:rPr>
        <w:t xml:space="preserve">Figure </w:t>
      </w:r>
      <w:r w:rsidRPr="00190574">
        <w:rPr>
          <w:rFonts w:ascii="Times New Roman" w:hAnsi="Times New Roman"/>
          <w:sz w:val="24"/>
          <w:szCs w:val="24"/>
        </w:rPr>
        <w:fldChar w:fldCharType="begin"/>
      </w:r>
      <w:r w:rsidRPr="00190574">
        <w:rPr>
          <w:rFonts w:ascii="Times New Roman" w:hAnsi="Times New Roman"/>
          <w:sz w:val="24"/>
          <w:szCs w:val="24"/>
        </w:rPr>
        <w:instrText xml:space="preserve"> SEQ Figure \* ARABIC </w:instrText>
      </w:r>
      <w:r w:rsidRPr="00190574">
        <w:rPr>
          <w:rFonts w:ascii="Times New Roman" w:hAnsi="Times New Roman"/>
          <w:sz w:val="24"/>
          <w:szCs w:val="24"/>
        </w:rPr>
        <w:fldChar w:fldCharType="separate"/>
      </w:r>
      <w:r w:rsidR="0021591B" w:rsidRPr="00190574">
        <w:rPr>
          <w:rFonts w:ascii="Times New Roman" w:hAnsi="Times New Roman"/>
          <w:noProof/>
          <w:sz w:val="24"/>
          <w:szCs w:val="24"/>
        </w:rPr>
        <w:t>3</w:t>
      </w:r>
      <w:r w:rsidRPr="00190574">
        <w:rPr>
          <w:rFonts w:ascii="Times New Roman" w:hAnsi="Times New Roman"/>
          <w:sz w:val="24"/>
          <w:szCs w:val="24"/>
        </w:rPr>
        <w:fldChar w:fldCharType="end"/>
      </w:r>
      <w:r w:rsidRPr="00190574">
        <w:rPr>
          <w:rFonts w:ascii="Times New Roman" w:hAnsi="Times New Roman"/>
          <w:sz w:val="24"/>
          <w:szCs w:val="24"/>
        </w:rPr>
        <w:t xml:space="preserve">. </w:t>
      </w:r>
      <w:r w:rsidRPr="00190574">
        <w:rPr>
          <w:rFonts w:ascii="Times New Roman" w:hAnsi="Times New Roman"/>
          <w:b w:val="0"/>
          <w:sz w:val="24"/>
          <w:szCs w:val="24"/>
        </w:rPr>
        <w:t>Snapshot of point source emissions data import interface</w:t>
      </w:r>
      <w:bookmarkEnd w:id="32"/>
    </w:p>
    <w:p w:rsidR="00371A26" w:rsidRPr="00190574" w:rsidRDefault="00371A26" w:rsidP="00371A26">
      <w:pPr>
        <w:rPr>
          <w:sz w:val="24"/>
        </w:rPr>
      </w:pPr>
    </w:p>
    <w:p w:rsidR="00C5735F" w:rsidRPr="00190574" w:rsidRDefault="00371A26" w:rsidP="00371A26">
      <w:pPr>
        <w:keepNext/>
        <w:tabs>
          <w:tab w:val="left" w:pos="1905"/>
        </w:tabs>
        <w:spacing w:line="264" w:lineRule="auto"/>
        <w:ind w:firstLine="0"/>
        <w:jc w:val="center"/>
        <w:rPr>
          <w:sz w:val="24"/>
        </w:rPr>
      </w:pPr>
      <w:r w:rsidRPr="00190574">
        <w:rPr>
          <w:noProof/>
          <w:sz w:val="24"/>
        </w:rPr>
        <w:drawing>
          <wp:inline distT="0" distB="0" distL="0" distR="0" wp14:anchorId="393BEA0D" wp14:editId="4A8EBD07">
            <wp:extent cx="4240553" cy="4048125"/>
            <wp:effectExtent l="19050" t="19050" r="26670" b="9525"/>
            <wp:docPr id="2" name="Picture 2" descr="Figure 4. Snapshot of assumptions inter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4"/>
                    <a:srcRect l="2243" t="6561" r="2405" b="2549"/>
                    <a:stretch/>
                  </pic:blipFill>
                  <pic:spPr bwMode="auto">
                    <a:xfrm>
                      <a:off x="0" y="0"/>
                      <a:ext cx="4246671" cy="4053965"/>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rsidR="00C5735F" w:rsidRPr="00190574" w:rsidRDefault="00C5735F" w:rsidP="00323F60">
      <w:pPr>
        <w:pStyle w:val="Caption"/>
        <w:spacing w:before="0" w:after="0"/>
        <w:jc w:val="center"/>
        <w:rPr>
          <w:rFonts w:ascii="Times New Roman" w:hAnsi="Times New Roman"/>
          <w:b w:val="0"/>
          <w:sz w:val="24"/>
          <w:szCs w:val="24"/>
        </w:rPr>
      </w:pPr>
      <w:bookmarkStart w:id="33" w:name="_Toc484000176"/>
      <w:r w:rsidRPr="00190574">
        <w:rPr>
          <w:rFonts w:ascii="Times New Roman" w:hAnsi="Times New Roman"/>
          <w:sz w:val="24"/>
          <w:szCs w:val="24"/>
        </w:rPr>
        <w:t xml:space="preserve">Figure </w:t>
      </w:r>
      <w:r w:rsidRPr="00190574">
        <w:rPr>
          <w:rFonts w:ascii="Times New Roman" w:hAnsi="Times New Roman"/>
          <w:sz w:val="24"/>
          <w:szCs w:val="24"/>
        </w:rPr>
        <w:fldChar w:fldCharType="begin"/>
      </w:r>
      <w:r w:rsidRPr="00190574">
        <w:rPr>
          <w:rFonts w:ascii="Times New Roman" w:hAnsi="Times New Roman"/>
          <w:sz w:val="24"/>
          <w:szCs w:val="24"/>
        </w:rPr>
        <w:instrText xml:space="preserve"> SEQ Figure \* ARABIC </w:instrText>
      </w:r>
      <w:r w:rsidRPr="00190574">
        <w:rPr>
          <w:rFonts w:ascii="Times New Roman" w:hAnsi="Times New Roman"/>
          <w:sz w:val="24"/>
          <w:szCs w:val="24"/>
        </w:rPr>
        <w:fldChar w:fldCharType="separate"/>
      </w:r>
      <w:r w:rsidR="0021591B" w:rsidRPr="00190574">
        <w:rPr>
          <w:rFonts w:ascii="Times New Roman" w:hAnsi="Times New Roman"/>
          <w:noProof/>
          <w:sz w:val="24"/>
          <w:szCs w:val="24"/>
        </w:rPr>
        <w:t>4</w:t>
      </w:r>
      <w:r w:rsidRPr="00190574">
        <w:rPr>
          <w:rFonts w:ascii="Times New Roman" w:hAnsi="Times New Roman"/>
          <w:sz w:val="24"/>
          <w:szCs w:val="24"/>
        </w:rPr>
        <w:fldChar w:fldCharType="end"/>
      </w:r>
      <w:r w:rsidRPr="00190574">
        <w:rPr>
          <w:rFonts w:ascii="Times New Roman" w:hAnsi="Times New Roman"/>
          <w:sz w:val="24"/>
          <w:szCs w:val="24"/>
        </w:rPr>
        <w:t>.</w:t>
      </w:r>
      <w:r w:rsidRPr="00190574">
        <w:rPr>
          <w:rFonts w:ascii="Times New Roman" w:hAnsi="Times New Roman"/>
          <w:b w:val="0"/>
          <w:sz w:val="24"/>
          <w:szCs w:val="24"/>
        </w:rPr>
        <w:t xml:space="preserve"> Snapshot of assumptions interface</w:t>
      </w:r>
      <w:bookmarkEnd w:id="33"/>
    </w:p>
    <w:p w:rsidR="00C5735F" w:rsidRPr="00190574" w:rsidRDefault="00C5735F" w:rsidP="00C5735F">
      <w:pPr>
        <w:rPr>
          <w:sz w:val="24"/>
        </w:rPr>
      </w:pPr>
    </w:p>
    <w:p w:rsidR="00E50078" w:rsidRPr="00190574" w:rsidRDefault="00E50078" w:rsidP="00323F60">
      <w:pPr>
        <w:pStyle w:val="Caption"/>
        <w:spacing w:before="0" w:after="0"/>
        <w:jc w:val="center"/>
        <w:rPr>
          <w:rFonts w:ascii="Times New Roman" w:hAnsi="Times New Roman"/>
          <w:sz w:val="24"/>
          <w:szCs w:val="24"/>
        </w:rPr>
      </w:pPr>
      <w:r w:rsidRPr="00190574">
        <w:rPr>
          <w:noProof/>
          <w:sz w:val="24"/>
          <w:szCs w:val="24"/>
        </w:rPr>
        <w:lastRenderedPageBreak/>
        <w:drawing>
          <wp:inline distT="0" distB="0" distL="0" distR="0" wp14:anchorId="60F69A3F" wp14:editId="6F884185">
            <wp:extent cx="5715000" cy="4479803"/>
            <wp:effectExtent l="19050" t="19050" r="19050" b="16510"/>
            <wp:docPr id="681" name="Picture 681" descr="Figure 5. Snapshot of Document Header interfac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715000" cy="4479803"/>
                    </a:xfrm>
                    <a:prstGeom prst="rect">
                      <a:avLst/>
                    </a:prstGeom>
                    <a:ln>
                      <a:solidFill>
                        <a:schemeClr val="tx1"/>
                      </a:solidFill>
                    </a:ln>
                  </pic:spPr>
                </pic:pic>
              </a:graphicData>
            </a:graphic>
          </wp:inline>
        </w:drawing>
      </w:r>
    </w:p>
    <w:p w:rsidR="00C5735F" w:rsidRPr="00190574" w:rsidRDefault="00C5735F" w:rsidP="00323F60">
      <w:pPr>
        <w:pStyle w:val="Caption"/>
        <w:spacing w:before="0" w:after="0"/>
        <w:jc w:val="center"/>
        <w:rPr>
          <w:rFonts w:ascii="Times New Roman" w:hAnsi="Times New Roman"/>
          <w:b w:val="0"/>
          <w:sz w:val="24"/>
          <w:szCs w:val="24"/>
        </w:rPr>
        <w:sectPr w:rsidR="00C5735F" w:rsidRPr="00190574" w:rsidSect="006629C8">
          <w:headerReference w:type="default" r:id="rId26"/>
          <w:pgSz w:w="12240" w:h="15840"/>
          <w:pgMar w:top="1440" w:right="1440" w:bottom="1440" w:left="1440" w:header="720" w:footer="720" w:gutter="0"/>
          <w:cols w:space="360"/>
          <w:docGrid w:linePitch="360"/>
        </w:sectPr>
      </w:pPr>
      <w:bookmarkStart w:id="34" w:name="_Toc484000177"/>
      <w:r w:rsidRPr="00190574">
        <w:rPr>
          <w:rFonts w:ascii="Times New Roman" w:hAnsi="Times New Roman"/>
          <w:sz w:val="24"/>
          <w:szCs w:val="24"/>
        </w:rPr>
        <w:t xml:space="preserve">Figure </w:t>
      </w:r>
      <w:r w:rsidRPr="00190574">
        <w:rPr>
          <w:rFonts w:ascii="Times New Roman" w:hAnsi="Times New Roman"/>
          <w:sz w:val="24"/>
          <w:szCs w:val="24"/>
        </w:rPr>
        <w:fldChar w:fldCharType="begin"/>
      </w:r>
      <w:r w:rsidRPr="00190574">
        <w:rPr>
          <w:rFonts w:ascii="Times New Roman" w:hAnsi="Times New Roman"/>
          <w:sz w:val="24"/>
          <w:szCs w:val="24"/>
        </w:rPr>
        <w:instrText xml:space="preserve"> SEQ Figure \* ARABIC </w:instrText>
      </w:r>
      <w:r w:rsidRPr="00190574">
        <w:rPr>
          <w:rFonts w:ascii="Times New Roman" w:hAnsi="Times New Roman"/>
          <w:sz w:val="24"/>
          <w:szCs w:val="24"/>
        </w:rPr>
        <w:fldChar w:fldCharType="separate"/>
      </w:r>
      <w:r w:rsidR="0021591B" w:rsidRPr="00190574">
        <w:rPr>
          <w:rFonts w:ascii="Times New Roman" w:hAnsi="Times New Roman"/>
          <w:noProof/>
          <w:sz w:val="24"/>
          <w:szCs w:val="24"/>
        </w:rPr>
        <w:t>5</w:t>
      </w:r>
      <w:r w:rsidRPr="00190574">
        <w:rPr>
          <w:rFonts w:ascii="Times New Roman" w:hAnsi="Times New Roman"/>
          <w:sz w:val="24"/>
          <w:szCs w:val="24"/>
        </w:rPr>
        <w:fldChar w:fldCharType="end"/>
      </w:r>
      <w:r w:rsidRPr="00190574">
        <w:rPr>
          <w:rFonts w:ascii="Times New Roman" w:hAnsi="Times New Roman"/>
          <w:sz w:val="24"/>
          <w:szCs w:val="24"/>
        </w:rPr>
        <w:t xml:space="preserve">. </w:t>
      </w:r>
      <w:r w:rsidR="00E50078" w:rsidRPr="00190574">
        <w:rPr>
          <w:rFonts w:ascii="Times New Roman" w:hAnsi="Times New Roman"/>
          <w:b w:val="0"/>
          <w:sz w:val="24"/>
          <w:szCs w:val="24"/>
        </w:rPr>
        <w:t>Snapshot of Document H</w:t>
      </w:r>
      <w:r w:rsidRPr="00190574">
        <w:rPr>
          <w:rFonts w:ascii="Times New Roman" w:hAnsi="Times New Roman"/>
          <w:b w:val="0"/>
          <w:sz w:val="24"/>
          <w:szCs w:val="24"/>
        </w:rPr>
        <w:t>eader interface</w:t>
      </w:r>
      <w:bookmarkEnd w:id="34"/>
    </w:p>
    <w:p w:rsidR="00E9539D" w:rsidRPr="00190574" w:rsidRDefault="00A74EB8" w:rsidP="008E371B">
      <w:pPr>
        <w:pStyle w:val="Heading1ES"/>
        <w:rPr>
          <w:rFonts w:ascii="Times New Roman" w:hAnsi="Times New Roman"/>
          <w:color w:val="auto"/>
          <w:szCs w:val="28"/>
        </w:rPr>
      </w:pPr>
      <w:bookmarkStart w:id="35" w:name="_Toc484000171"/>
      <w:r w:rsidRPr="00190574">
        <w:rPr>
          <w:rFonts w:ascii="Times New Roman" w:hAnsi="Times New Roman"/>
          <w:color w:val="auto"/>
          <w:szCs w:val="28"/>
        </w:rPr>
        <w:lastRenderedPageBreak/>
        <w:t>8</w:t>
      </w:r>
      <w:r w:rsidR="00E9539D" w:rsidRPr="00190574">
        <w:rPr>
          <w:rFonts w:ascii="Times New Roman" w:hAnsi="Times New Roman"/>
          <w:color w:val="auto"/>
          <w:szCs w:val="28"/>
        </w:rPr>
        <w:t>. R</w:t>
      </w:r>
      <w:r w:rsidR="008E371B" w:rsidRPr="00190574">
        <w:rPr>
          <w:rFonts w:ascii="Times New Roman" w:hAnsi="Times New Roman"/>
          <w:color w:val="auto"/>
          <w:szCs w:val="28"/>
        </w:rPr>
        <w:t>eferences</w:t>
      </w:r>
      <w:bookmarkEnd w:id="35"/>
    </w:p>
    <w:p w:rsidR="009034FD" w:rsidRPr="00190574" w:rsidRDefault="009034FD" w:rsidP="00A17563">
      <w:pPr>
        <w:spacing w:after="180" w:line="264" w:lineRule="auto"/>
        <w:ind w:firstLine="0"/>
        <w:rPr>
          <w:rFonts w:ascii="Times New Roman" w:hAnsi="Times New Roman"/>
          <w:sz w:val="24"/>
        </w:rPr>
      </w:pPr>
      <w:r w:rsidRPr="00190574">
        <w:rPr>
          <w:rFonts w:ascii="Times New Roman" w:hAnsi="Times New Roman"/>
          <w:sz w:val="24"/>
        </w:rPr>
        <w:t>Bureau of the Census, 201</w:t>
      </w:r>
      <w:r w:rsidR="00222FC2" w:rsidRPr="00190574">
        <w:rPr>
          <w:rFonts w:ascii="Times New Roman" w:hAnsi="Times New Roman"/>
          <w:sz w:val="24"/>
        </w:rPr>
        <w:t>5a</w:t>
      </w:r>
      <w:r w:rsidRPr="00190574">
        <w:rPr>
          <w:rFonts w:ascii="Times New Roman" w:hAnsi="Times New Roman"/>
          <w:sz w:val="24"/>
        </w:rPr>
        <w:t xml:space="preserve">: </w:t>
      </w:r>
      <w:hyperlink r:id="rId27" w:history="1">
        <w:r w:rsidRPr="00190574">
          <w:rPr>
            <w:rStyle w:val="Hyperlink"/>
            <w:rFonts w:ascii="Times New Roman" w:hAnsi="Times New Roman"/>
            <w:i/>
            <w:iCs/>
            <w:sz w:val="24"/>
          </w:rPr>
          <w:t>County Business Patterns</w:t>
        </w:r>
      </w:hyperlink>
      <w:r w:rsidRPr="00190574">
        <w:rPr>
          <w:rFonts w:ascii="Times New Roman" w:hAnsi="Times New Roman"/>
          <w:i/>
          <w:iCs/>
          <w:sz w:val="24"/>
        </w:rPr>
        <w:t xml:space="preserve"> </w:t>
      </w:r>
      <w:r w:rsidR="00222FC2" w:rsidRPr="00190574">
        <w:rPr>
          <w:rFonts w:ascii="Times New Roman" w:hAnsi="Times New Roman"/>
          <w:i/>
          <w:iCs/>
          <w:sz w:val="24"/>
        </w:rPr>
        <w:t>2013</w:t>
      </w:r>
      <w:r w:rsidRPr="00190574">
        <w:rPr>
          <w:rFonts w:ascii="Times New Roman" w:hAnsi="Times New Roman"/>
          <w:i/>
          <w:iCs/>
          <w:sz w:val="24"/>
        </w:rPr>
        <w:t xml:space="preserve">, </w:t>
      </w:r>
      <w:r w:rsidRPr="00190574">
        <w:rPr>
          <w:rFonts w:ascii="Times New Roman" w:hAnsi="Times New Roman"/>
          <w:sz w:val="24"/>
        </w:rPr>
        <w:t xml:space="preserve">U.S. Department of Commerce, Washington DC, accessed </w:t>
      </w:r>
      <w:r w:rsidR="00190574">
        <w:rPr>
          <w:rFonts w:ascii="Times New Roman" w:hAnsi="Times New Roman"/>
          <w:sz w:val="24"/>
        </w:rPr>
        <w:t>May 2019</w:t>
      </w:r>
      <w:r w:rsidR="00BB27A8" w:rsidRPr="00190574">
        <w:rPr>
          <w:rFonts w:ascii="Times New Roman" w:hAnsi="Times New Roman"/>
          <w:sz w:val="24"/>
        </w:rPr>
        <w:t>.</w:t>
      </w:r>
    </w:p>
    <w:p w:rsidR="00BB27A8" w:rsidRPr="00190574" w:rsidRDefault="00222FC2" w:rsidP="00A17563">
      <w:pPr>
        <w:spacing w:after="180" w:line="264" w:lineRule="auto"/>
        <w:ind w:firstLine="0"/>
        <w:rPr>
          <w:rFonts w:ascii="Times New Roman" w:hAnsi="Times New Roman"/>
          <w:sz w:val="24"/>
        </w:rPr>
      </w:pPr>
      <w:r w:rsidRPr="00190574">
        <w:rPr>
          <w:rFonts w:ascii="Times New Roman" w:hAnsi="Times New Roman"/>
          <w:sz w:val="24"/>
        </w:rPr>
        <w:t>Bureau of the Census, 2015b</w:t>
      </w:r>
      <w:r w:rsidR="00BB27A8" w:rsidRPr="00190574">
        <w:rPr>
          <w:rFonts w:ascii="Times New Roman" w:hAnsi="Times New Roman"/>
          <w:sz w:val="24"/>
        </w:rPr>
        <w:t>: “</w:t>
      </w:r>
      <w:hyperlink r:id="rId28" w:history="1">
        <w:r w:rsidR="00BB27A8" w:rsidRPr="00190574">
          <w:rPr>
            <w:rStyle w:val="Hyperlink"/>
            <w:rFonts w:ascii="Times New Roman" w:hAnsi="Times New Roman"/>
            <w:sz w:val="24"/>
          </w:rPr>
          <w:t>Local Government Employment and Payroll</w:t>
        </w:r>
      </w:hyperlink>
      <w:r w:rsidR="00BB27A8" w:rsidRPr="00190574">
        <w:rPr>
          <w:rFonts w:ascii="Times New Roman" w:hAnsi="Times New Roman"/>
          <w:sz w:val="24"/>
        </w:rPr>
        <w:t xml:space="preserve">, March 2012,” </w:t>
      </w:r>
      <w:r w:rsidR="00BB27A8" w:rsidRPr="00190574">
        <w:rPr>
          <w:rFonts w:ascii="Times New Roman" w:hAnsi="Times New Roman"/>
          <w:i/>
          <w:iCs/>
          <w:sz w:val="24"/>
        </w:rPr>
        <w:t>2012 Census of Governments</w:t>
      </w:r>
      <w:r w:rsidR="00BB27A8" w:rsidRPr="00190574">
        <w:rPr>
          <w:rFonts w:ascii="Times New Roman" w:hAnsi="Times New Roman"/>
          <w:sz w:val="24"/>
        </w:rPr>
        <w:t>, U.S. Department of Commerce, Washington DC, accessed</w:t>
      </w:r>
      <w:r w:rsidR="00190574">
        <w:rPr>
          <w:rFonts w:ascii="Times New Roman" w:hAnsi="Times New Roman"/>
          <w:sz w:val="24"/>
        </w:rPr>
        <w:t xml:space="preserve"> May</w:t>
      </w:r>
      <w:r w:rsidRPr="00190574">
        <w:rPr>
          <w:rFonts w:ascii="Times New Roman" w:hAnsi="Times New Roman"/>
          <w:sz w:val="24"/>
        </w:rPr>
        <w:t xml:space="preserve"> 201</w:t>
      </w:r>
      <w:r w:rsidR="00B11A57">
        <w:rPr>
          <w:rFonts w:ascii="Times New Roman" w:hAnsi="Times New Roman"/>
          <w:sz w:val="24"/>
        </w:rPr>
        <w:t>9</w:t>
      </w:r>
      <w:r w:rsidR="00BB27A8" w:rsidRPr="00190574">
        <w:rPr>
          <w:rFonts w:ascii="Times New Roman" w:hAnsi="Times New Roman"/>
          <w:sz w:val="24"/>
        </w:rPr>
        <w:t>.</w:t>
      </w:r>
    </w:p>
    <w:p w:rsidR="00E01B12" w:rsidRPr="00190574" w:rsidRDefault="00222FC2" w:rsidP="00A17563">
      <w:pPr>
        <w:spacing w:after="180" w:line="264" w:lineRule="auto"/>
        <w:ind w:firstLine="0"/>
        <w:rPr>
          <w:rFonts w:ascii="Times New Roman" w:hAnsi="Times New Roman"/>
          <w:sz w:val="24"/>
        </w:rPr>
      </w:pPr>
      <w:r w:rsidRPr="00190574">
        <w:rPr>
          <w:rFonts w:ascii="Times New Roman" w:hAnsi="Times New Roman"/>
          <w:sz w:val="24"/>
        </w:rPr>
        <w:t>EIA, 2015a</w:t>
      </w:r>
      <w:r w:rsidR="00E01B12" w:rsidRPr="00190574">
        <w:rPr>
          <w:rFonts w:ascii="Times New Roman" w:hAnsi="Times New Roman"/>
          <w:sz w:val="24"/>
        </w:rPr>
        <w:t>: Energy Information Administration, “</w:t>
      </w:r>
      <w:hyperlink r:id="rId29" w:anchor="consumption" w:history="1">
        <w:r w:rsidR="00E01B12" w:rsidRPr="002835A7">
          <w:rPr>
            <w:rStyle w:val="Hyperlink"/>
            <w:rFonts w:ascii="Times New Roman" w:hAnsi="Times New Roman"/>
            <w:sz w:val="24"/>
          </w:rPr>
          <w:t xml:space="preserve">State Energy Data System, Consumption Estimates, </w:t>
        </w:r>
        <w:r w:rsidRPr="002835A7">
          <w:rPr>
            <w:rStyle w:val="Hyperlink"/>
            <w:rFonts w:ascii="Times New Roman" w:hAnsi="Times New Roman"/>
            <w:sz w:val="24"/>
          </w:rPr>
          <w:t>2013</w:t>
        </w:r>
      </w:hyperlink>
      <w:r w:rsidR="00E01B12" w:rsidRPr="00190574">
        <w:rPr>
          <w:rFonts w:ascii="Times New Roman" w:hAnsi="Times New Roman"/>
          <w:sz w:val="24"/>
        </w:rPr>
        <w:t>” U.S. Department of Energy, Washington DC, annual data</w:t>
      </w:r>
      <w:r w:rsidRPr="00190574">
        <w:rPr>
          <w:rFonts w:ascii="Times New Roman" w:hAnsi="Times New Roman"/>
          <w:sz w:val="24"/>
        </w:rPr>
        <w:t xml:space="preserve"> released July 24, 2015</w:t>
      </w:r>
      <w:r w:rsidR="00E01B12" w:rsidRPr="00190574">
        <w:rPr>
          <w:rFonts w:ascii="Times New Roman" w:hAnsi="Times New Roman"/>
          <w:sz w:val="24"/>
        </w:rPr>
        <w:t xml:space="preserve">. </w:t>
      </w:r>
    </w:p>
    <w:p w:rsidR="00222FC2" w:rsidRPr="00190574" w:rsidRDefault="00222FC2" w:rsidP="00222FC2">
      <w:pPr>
        <w:spacing w:after="180" w:line="264" w:lineRule="auto"/>
        <w:ind w:firstLine="0"/>
        <w:rPr>
          <w:rFonts w:ascii="Times New Roman" w:hAnsi="Times New Roman"/>
          <w:sz w:val="24"/>
        </w:rPr>
      </w:pPr>
      <w:r w:rsidRPr="00190574">
        <w:rPr>
          <w:rFonts w:ascii="Times New Roman" w:hAnsi="Times New Roman"/>
          <w:sz w:val="24"/>
        </w:rPr>
        <w:t>EIA, 2015b: Energy Information Administration, “</w:t>
      </w:r>
      <w:hyperlink r:id="rId30" w:history="1">
        <w:r w:rsidRPr="002835A7">
          <w:rPr>
            <w:rStyle w:val="Hyperlink"/>
            <w:rFonts w:ascii="Times New Roman" w:hAnsi="Times New Roman"/>
            <w:sz w:val="24"/>
          </w:rPr>
          <w:t>Annual Coal Distribution Archive, Domestic Distribution of U.S. Coal by Destination State, Consumer, Destination and Method of Transportation</w:t>
        </w:r>
      </w:hyperlink>
      <w:r w:rsidRPr="00190574">
        <w:rPr>
          <w:rFonts w:ascii="Times New Roman" w:hAnsi="Times New Roman"/>
          <w:sz w:val="24"/>
        </w:rPr>
        <w:t>” U.S. Department of Energy, Washington DC, 2013 data file release date April 16, 2015.</w:t>
      </w:r>
    </w:p>
    <w:p w:rsidR="00E9539D" w:rsidRPr="00190574" w:rsidRDefault="00E01B12" w:rsidP="00A17563">
      <w:pPr>
        <w:spacing w:after="180" w:line="264" w:lineRule="auto"/>
        <w:ind w:firstLine="0"/>
        <w:rPr>
          <w:rFonts w:ascii="Times New Roman" w:hAnsi="Times New Roman"/>
          <w:sz w:val="24"/>
        </w:rPr>
      </w:pPr>
      <w:r w:rsidRPr="00190574">
        <w:rPr>
          <w:rFonts w:ascii="Times New Roman" w:hAnsi="Times New Roman"/>
          <w:sz w:val="24"/>
        </w:rPr>
        <w:t>EIA, 2013</w:t>
      </w:r>
      <w:r w:rsidR="00C674E8" w:rsidRPr="00190574">
        <w:rPr>
          <w:rFonts w:ascii="Times New Roman" w:hAnsi="Times New Roman"/>
          <w:sz w:val="24"/>
        </w:rPr>
        <w:t>a</w:t>
      </w:r>
      <w:r w:rsidRPr="00190574">
        <w:rPr>
          <w:rFonts w:ascii="Times New Roman" w:hAnsi="Times New Roman"/>
          <w:sz w:val="24"/>
        </w:rPr>
        <w:t xml:space="preserve">: Energy Information Administration, </w:t>
      </w:r>
      <w:r w:rsidRPr="00190574">
        <w:rPr>
          <w:rFonts w:ascii="Times New Roman" w:hAnsi="Times New Roman"/>
          <w:i/>
          <w:iCs/>
          <w:sz w:val="24"/>
        </w:rPr>
        <w:t xml:space="preserve">Fuel Oil and Kerosene Sales, </w:t>
      </w:r>
      <w:r w:rsidR="00222FC2" w:rsidRPr="00190574">
        <w:rPr>
          <w:rFonts w:ascii="Times New Roman" w:hAnsi="Times New Roman"/>
          <w:i/>
          <w:iCs/>
          <w:sz w:val="24"/>
        </w:rPr>
        <w:t>2013</w:t>
      </w:r>
      <w:r w:rsidRPr="00190574">
        <w:rPr>
          <w:rFonts w:ascii="Times New Roman" w:hAnsi="Times New Roman"/>
          <w:sz w:val="24"/>
        </w:rPr>
        <w:t>, U.S. Department of Energy, Washington DC, accessed from</w:t>
      </w:r>
      <w:r w:rsidR="00222FC2" w:rsidRPr="00190574">
        <w:rPr>
          <w:rFonts w:ascii="Times New Roman" w:hAnsi="Times New Roman"/>
          <w:sz w:val="24"/>
        </w:rPr>
        <w:t xml:space="preserve"> </w:t>
      </w:r>
      <w:hyperlink r:id="rId31" w:history="1">
        <w:r w:rsidR="002835A7" w:rsidRPr="001E079A">
          <w:rPr>
            <w:rStyle w:val="Hyperlink"/>
            <w:rFonts w:ascii="Times New Roman" w:hAnsi="Times New Roman"/>
            <w:sz w:val="24"/>
          </w:rPr>
          <w:t>http://www.eia.gov/dnav/pet/p</w:t>
        </w:r>
        <w:r w:rsidR="002835A7" w:rsidRPr="001E079A">
          <w:rPr>
            <w:rStyle w:val="Hyperlink"/>
            <w:rFonts w:ascii="Times New Roman" w:hAnsi="Times New Roman"/>
            <w:sz w:val="24"/>
          </w:rPr>
          <w:t>e</w:t>
        </w:r>
        <w:r w:rsidR="002835A7" w:rsidRPr="001E079A">
          <w:rPr>
            <w:rStyle w:val="Hyperlink"/>
            <w:rFonts w:ascii="Times New Roman" w:hAnsi="Times New Roman"/>
            <w:sz w:val="24"/>
          </w:rPr>
          <w:t>t_cons_821dst_dcu_nus_a.htm</w:t>
        </w:r>
      </w:hyperlink>
      <w:r w:rsidR="00222FC2" w:rsidRPr="00190574">
        <w:rPr>
          <w:rFonts w:ascii="Times New Roman" w:hAnsi="Times New Roman"/>
          <w:sz w:val="24"/>
        </w:rPr>
        <w:t xml:space="preserve"> </w:t>
      </w:r>
    </w:p>
    <w:p w:rsidR="00EE6EBB" w:rsidRPr="00190574" w:rsidRDefault="00EE6EBB" w:rsidP="00A17563">
      <w:pPr>
        <w:spacing w:after="180" w:line="264" w:lineRule="auto"/>
        <w:ind w:firstLine="0"/>
        <w:rPr>
          <w:rFonts w:ascii="Times New Roman" w:hAnsi="Times New Roman"/>
          <w:sz w:val="24"/>
          <w:u w:val="single"/>
        </w:rPr>
      </w:pPr>
      <w:r w:rsidRPr="00190574">
        <w:rPr>
          <w:rFonts w:ascii="Times New Roman" w:hAnsi="Times New Roman"/>
          <w:sz w:val="24"/>
        </w:rPr>
        <w:t xml:space="preserve">EIA, </w:t>
      </w:r>
      <w:r w:rsidR="00222FC2" w:rsidRPr="00190574">
        <w:rPr>
          <w:rFonts w:ascii="Times New Roman" w:hAnsi="Times New Roman"/>
          <w:sz w:val="24"/>
        </w:rPr>
        <w:t>2013b</w:t>
      </w:r>
      <w:r w:rsidRPr="00190574">
        <w:rPr>
          <w:rFonts w:ascii="Times New Roman" w:hAnsi="Times New Roman"/>
          <w:sz w:val="24"/>
        </w:rPr>
        <w:t>. Energy Information Administration</w:t>
      </w:r>
      <w:r w:rsidRPr="00190574">
        <w:rPr>
          <w:rFonts w:ascii="Times New Roman" w:hAnsi="Times New Roman"/>
          <w:i/>
          <w:iCs/>
          <w:sz w:val="24"/>
        </w:rPr>
        <w:t>, “</w:t>
      </w:r>
      <w:hyperlink r:id="rId32" w:history="1">
        <w:r w:rsidRPr="002835A7">
          <w:rPr>
            <w:rStyle w:val="Hyperlink"/>
            <w:rFonts w:ascii="Times New Roman" w:hAnsi="Times New Roman"/>
            <w:iCs/>
            <w:sz w:val="24"/>
          </w:rPr>
          <w:t>2010 MECS Survey Data</w:t>
        </w:r>
      </w:hyperlink>
      <w:r w:rsidRPr="00190574">
        <w:rPr>
          <w:rFonts w:ascii="Times New Roman" w:hAnsi="Times New Roman"/>
          <w:iCs/>
          <w:sz w:val="24"/>
        </w:rPr>
        <w:t>”</w:t>
      </w:r>
      <w:r w:rsidRPr="00190574">
        <w:rPr>
          <w:rFonts w:ascii="Times New Roman" w:hAnsi="Times New Roman"/>
          <w:sz w:val="24"/>
        </w:rPr>
        <w:t xml:space="preserve">. U.S. Department of Energy, Energy Information Administration, data files </w:t>
      </w:r>
      <w:r w:rsidRPr="00190574">
        <w:rPr>
          <w:rFonts w:ascii="Times New Roman" w:hAnsi="Times New Roman"/>
          <w:sz w:val="24"/>
          <w:u w:val="single"/>
        </w:rPr>
        <w:t xml:space="preserve"> release date 2013.</w:t>
      </w:r>
    </w:p>
    <w:p w:rsidR="009034FD" w:rsidRPr="00190574" w:rsidRDefault="009034FD" w:rsidP="00A17563">
      <w:pPr>
        <w:spacing w:after="180" w:line="264" w:lineRule="auto"/>
        <w:ind w:firstLine="0"/>
        <w:rPr>
          <w:rFonts w:ascii="Times New Roman" w:hAnsi="Times New Roman"/>
          <w:sz w:val="24"/>
        </w:rPr>
      </w:pPr>
      <w:r w:rsidRPr="00190574">
        <w:rPr>
          <w:rFonts w:ascii="Times New Roman" w:hAnsi="Times New Roman"/>
          <w:sz w:val="24"/>
        </w:rPr>
        <w:t>EIA, 2013</w:t>
      </w:r>
      <w:r w:rsidR="00222FC2" w:rsidRPr="00190574">
        <w:rPr>
          <w:rFonts w:ascii="Times New Roman" w:hAnsi="Times New Roman"/>
          <w:sz w:val="24"/>
        </w:rPr>
        <w:t>c</w:t>
      </w:r>
      <w:r w:rsidRPr="00190574">
        <w:rPr>
          <w:rFonts w:ascii="Times New Roman" w:hAnsi="Times New Roman"/>
          <w:sz w:val="24"/>
        </w:rPr>
        <w:t xml:space="preserve">: Energy Information Administration, “Appendix Table A-51. EIA's Commercial Sector: Building Activities and NAICS Industries,” </w:t>
      </w:r>
      <w:r w:rsidRPr="00190574">
        <w:rPr>
          <w:rFonts w:ascii="Times New Roman" w:hAnsi="Times New Roman"/>
          <w:i/>
          <w:iCs/>
          <w:sz w:val="24"/>
        </w:rPr>
        <w:t>Commercial Building Energy Consumption Survey</w:t>
      </w:r>
      <w:r w:rsidRPr="00190574">
        <w:rPr>
          <w:rFonts w:ascii="Times New Roman" w:hAnsi="Times New Roman"/>
          <w:sz w:val="24"/>
        </w:rPr>
        <w:t>, U.S. Department of Energy, Washington DC, available from</w:t>
      </w:r>
      <w:r w:rsidRPr="00190574">
        <w:rPr>
          <w:rFonts w:ascii="Times New Roman" w:hAnsi="Times New Roman"/>
          <w:sz w:val="24"/>
          <w:u w:val="single"/>
        </w:rPr>
        <w:t xml:space="preserve"> </w:t>
      </w:r>
      <w:hyperlink r:id="rId33" w:history="1">
        <w:r w:rsidR="002835A7" w:rsidRPr="001E079A">
          <w:rPr>
            <w:rStyle w:val="Hyperlink"/>
            <w:rFonts w:ascii="Times New Roman" w:hAnsi="Times New Roman"/>
            <w:sz w:val="24"/>
          </w:rPr>
          <w:t>http://www.eia.gov/consu</w:t>
        </w:r>
        <w:r w:rsidR="002835A7" w:rsidRPr="001E079A">
          <w:rPr>
            <w:rStyle w:val="Hyperlink"/>
            <w:rFonts w:ascii="Times New Roman" w:hAnsi="Times New Roman"/>
            <w:sz w:val="24"/>
          </w:rPr>
          <w:t>m</w:t>
        </w:r>
        <w:r w:rsidR="002835A7" w:rsidRPr="001E079A">
          <w:rPr>
            <w:rStyle w:val="Hyperlink"/>
            <w:rFonts w:ascii="Times New Roman" w:hAnsi="Times New Roman"/>
            <w:sz w:val="24"/>
          </w:rPr>
          <w:t>ption/commercial/index.cfm</w:t>
        </w:r>
      </w:hyperlink>
      <w:r w:rsidRPr="00190574">
        <w:rPr>
          <w:rFonts w:ascii="Times New Roman" w:hAnsi="Times New Roman"/>
          <w:sz w:val="24"/>
        </w:rPr>
        <w:t>, accessed July 2013.</w:t>
      </w:r>
    </w:p>
    <w:p w:rsidR="00844D4C" w:rsidRPr="00190574" w:rsidRDefault="00844D4C" w:rsidP="00A17563">
      <w:pPr>
        <w:spacing w:after="180" w:line="264" w:lineRule="auto"/>
        <w:ind w:firstLine="0"/>
        <w:rPr>
          <w:rFonts w:ascii="Times New Roman" w:hAnsi="Times New Roman"/>
          <w:sz w:val="24"/>
        </w:rPr>
      </w:pPr>
      <w:r w:rsidRPr="00190574">
        <w:rPr>
          <w:rFonts w:ascii="Times New Roman" w:hAnsi="Times New Roman"/>
          <w:sz w:val="24"/>
        </w:rPr>
        <w:t xml:space="preserve">EIA, 2012. </w:t>
      </w:r>
      <w:hyperlink r:id="rId34" w:history="1">
        <w:r w:rsidRPr="002835A7">
          <w:rPr>
            <w:rStyle w:val="Hyperlink"/>
            <w:rFonts w:ascii="Times New Roman" w:hAnsi="Times New Roman"/>
            <w:i/>
            <w:iCs/>
            <w:sz w:val="24"/>
          </w:rPr>
          <w:t>Quarterly Coal Report, January – March 2012</w:t>
        </w:r>
      </w:hyperlink>
      <w:r w:rsidRPr="00190574">
        <w:rPr>
          <w:rFonts w:ascii="Times New Roman" w:hAnsi="Times New Roman"/>
          <w:sz w:val="24"/>
        </w:rPr>
        <w:t>. U.S. Department of Energy, Energy Information Administration</w:t>
      </w:r>
      <w:r w:rsidRPr="00190574">
        <w:rPr>
          <w:rFonts w:ascii="Times New Roman" w:hAnsi="Times New Roman"/>
          <w:sz w:val="24"/>
          <w:u w:val="single"/>
        </w:rPr>
        <w:t xml:space="preserve">. </w:t>
      </w:r>
    </w:p>
    <w:p w:rsidR="00EE6EBB" w:rsidRPr="00190574" w:rsidRDefault="00EE6EBB" w:rsidP="00A17563">
      <w:pPr>
        <w:spacing w:after="180" w:line="264" w:lineRule="auto"/>
        <w:ind w:firstLine="0"/>
        <w:rPr>
          <w:rFonts w:ascii="Times New Roman" w:hAnsi="Times New Roman"/>
          <w:sz w:val="24"/>
        </w:rPr>
      </w:pPr>
      <w:r w:rsidRPr="00190574">
        <w:rPr>
          <w:rFonts w:ascii="Times New Roman" w:hAnsi="Times New Roman"/>
          <w:sz w:val="24"/>
        </w:rPr>
        <w:t xml:space="preserve">EIA, 2007: Energy Information Administration, </w:t>
      </w:r>
      <w:r w:rsidRPr="00190574">
        <w:rPr>
          <w:rFonts w:ascii="Times New Roman" w:hAnsi="Times New Roman"/>
          <w:i/>
          <w:iCs/>
          <w:sz w:val="24"/>
        </w:rPr>
        <w:t>Documentation for Emissions of Greenhouse Gases in the United States 2005</w:t>
      </w:r>
      <w:r w:rsidRPr="00190574">
        <w:rPr>
          <w:rFonts w:ascii="Times New Roman" w:hAnsi="Times New Roman"/>
          <w:sz w:val="24"/>
        </w:rPr>
        <w:t>, U.S. Department of Energy, Washington, DC, October 2007; DOE/EIA-0638 (2005).</w:t>
      </w:r>
    </w:p>
    <w:p w:rsidR="00BB27A8" w:rsidRPr="00190574" w:rsidRDefault="00BB27A8" w:rsidP="00A17563">
      <w:pPr>
        <w:spacing w:after="180" w:line="264" w:lineRule="auto"/>
        <w:ind w:firstLine="0"/>
        <w:rPr>
          <w:rFonts w:ascii="Times New Roman" w:hAnsi="Times New Roman"/>
          <w:sz w:val="24"/>
        </w:rPr>
      </w:pPr>
      <w:r w:rsidRPr="00190574">
        <w:rPr>
          <w:rFonts w:ascii="Times New Roman" w:hAnsi="Times New Roman"/>
          <w:sz w:val="24"/>
        </w:rPr>
        <w:t xml:space="preserve">EPA, 2010. U.S. Environmental Protection Agency, </w:t>
      </w:r>
      <w:hyperlink r:id="rId35" w:history="1">
        <w:r w:rsidRPr="002835A7">
          <w:rPr>
            <w:rStyle w:val="Hyperlink"/>
            <w:rFonts w:ascii="Times New Roman" w:hAnsi="Times New Roman"/>
            <w:i/>
            <w:iCs/>
            <w:sz w:val="24"/>
          </w:rPr>
          <w:t xml:space="preserve">AP-42, </w:t>
        </w:r>
        <w:r w:rsidRPr="002835A7">
          <w:rPr>
            <w:rStyle w:val="Hyperlink"/>
            <w:rFonts w:ascii="Times New Roman" w:hAnsi="Times New Roman"/>
            <w:sz w:val="24"/>
          </w:rPr>
          <w:t>Compilation of Air Pollutant Emission Factors, Volume 1, Stationary Point and Area Sources</w:t>
        </w:r>
      </w:hyperlink>
      <w:r w:rsidRPr="00190574">
        <w:rPr>
          <w:rFonts w:ascii="Times New Roman" w:hAnsi="Times New Roman"/>
          <w:sz w:val="24"/>
        </w:rPr>
        <w:t xml:space="preserve">, accessed </w:t>
      </w:r>
      <w:r w:rsidR="002835A7">
        <w:rPr>
          <w:rFonts w:ascii="Times New Roman" w:hAnsi="Times New Roman"/>
          <w:sz w:val="24"/>
        </w:rPr>
        <w:t>May 2019</w:t>
      </w:r>
      <w:r w:rsidRPr="00190574">
        <w:rPr>
          <w:rFonts w:ascii="Times New Roman" w:hAnsi="Times New Roman"/>
          <w:sz w:val="24"/>
        </w:rPr>
        <w:t>.</w:t>
      </w:r>
      <w:r w:rsidRPr="00190574">
        <w:rPr>
          <w:rFonts w:ascii="Times New Roman" w:hAnsi="Times New Roman"/>
          <w:sz w:val="24"/>
          <w:u w:val="single"/>
        </w:rPr>
        <w:t xml:space="preserve"> </w:t>
      </w:r>
    </w:p>
    <w:p w:rsidR="00BB27A8" w:rsidRPr="00190574" w:rsidRDefault="00BB27A8" w:rsidP="00A17563">
      <w:pPr>
        <w:spacing w:after="180" w:line="264" w:lineRule="auto"/>
        <w:ind w:firstLine="0"/>
        <w:rPr>
          <w:rFonts w:ascii="Times New Roman" w:hAnsi="Times New Roman"/>
          <w:sz w:val="24"/>
        </w:rPr>
      </w:pPr>
      <w:r w:rsidRPr="00190574">
        <w:rPr>
          <w:rFonts w:ascii="Times New Roman" w:hAnsi="Times New Roman"/>
          <w:sz w:val="24"/>
        </w:rPr>
        <w:t xml:space="preserve">EPA, 2004. </w:t>
      </w:r>
      <w:r w:rsidRPr="00190574">
        <w:rPr>
          <w:rFonts w:ascii="Times New Roman" w:hAnsi="Times New Roman"/>
          <w:i/>
          <w:iCs/>
          <w:sz w:val="24"/>
        </w:rPr>
        <w:t>Estimating Ammonia Emissions from Anthropogenic Sources</w:t>
      </w:r>
      <w:r w:rsidRPr="00190574">
        <w:rPr>
          <w:rFonts w:ascii="Times New Roman" w:hAnsi="Times New Roman"/>
          <w:sz w:val="24"/>
        </w:rPr>
        <w:t>. Draft Final Report. Emission Inventory Improvement Program, U.S. Environmental Protection Agency, Research Triangle Park, North Carolina, April 2004.</w:t>
      </w:r>
    </w:p>
    <w:p w:rsidR="00EE6EBB" w:rsidRPr="00190574" w:rsidRDefault="00EE6EBB" w:rsidP="00A17563">
      <w:pPr>
        <w:spacing w:after="180" w:line="264" w:lineRule="auto"/>
        <w:ind w:firstLine="0"/>
        <w:rPr>
          <w:rFonts w:ascii="Times New Roman" w:hAnsi="Times New Roman"/>
          <w:sz w:val="24"/>
        </w:rPr>
      </w:pPr>
      <w:r w:rsidRPr="00190574">
        <w:rPr>
          <w:rFonts w:ascii="Times New Roman" w:hAnsi="Times New Roman"/>
          <w:sz w:val="24"/>
        </w:rPr>
        <w:t xml:space="preserve">EPA, 2003: </w:t>
      </w:r>
      <w:r w:rsidRPr="00190574">
        <w:rPr>
          <w:rFonts w:ascii="Times New Roman" w:hAnsi="Times New Roman"/>
          <w:i/>
          <w:iCs/>
          <w:sz w:val="24"/>
        </w:rPr>
        <w:t>Draft Regulatory Impact Analysis: Control of Emissions from Nonroad Diesel Engines</w:t>
      </w:r>
      <w:r w:rsidRPr="00190574">
        <w:rPr>
          <w:rFonts w:ascii="Times New Roman" w:hAnsi="Times New Roman"/>
          <w:sz w:val="24"/>
        </w:rPr>
        <w:t>. EPA 420-R-03-008. U.S. Environmental Protection Agency, Office of Transportation and Air Quality, April.</w:t>
      </w:r>
    </w:p>
    <w:p w:rsidR="00BB27A8" w:rsidRPr="00190574" w:rsidRDefault="00BB27A8" w:rsidP="00A17563">
      <w:pPr>
        <w:spacing w:after="180" w:line="264" w:lineRule="auto"/>
        <w:ind w:firstLine="0"/>
        <w:rPr>
          <w:rFonts w:ascii="Times New Roman" w:hAnsi="Times New Roman"/>
          <w:sz w:val="24"/>
        </w:rPr>
      </w:pPr>
      <w:r w:rsidRPr="00190574">
        <w:rPr>
          <w:rFonts w:ascii="Times New Roman" w:hAnsi="Times New Roman"/>
          <w:sz w:val="24"/>
        </w:rPr>
        <w:lastRenderedPageBreak/>
        <w:t xml:space="preserve">Huntley, R., 2009. U.S. Environmental Protection Agency, Eastern Regional Technical Advisory Committee (ERTAC), Excel file: state_comparison_ERTAC_SS_version7.2_23nov2009.xls </w:t>
      </w:r>
    </w:p>
    <w:p w:rsidR="008E371B" w:rsidRPr="00190574" w:rsidRDefault="008E371B">
      <w:pPr>
        <w:ind w:firstLine="0"/>
        <w:rPr>
          <w:rFonts w:ascii="Times New Roman" w:hAnsi="Times New Roman"/>
          <w:sz w:val="24"/>
          <w:u w:val="single"/>
        </w:rPr>
      </w:pPr>
      <w:r w:rsidRPr="00190574">
        <w:rPr>
          <w:rFonts w:ascii="Times New Roman" w:hAnsi="Times New Roman"/>
          <w:sz w:val="24"/>
          <w:u w:val="single"/>
        </w:rPr>
        <w:br w:type="page"/>
      </w:r>
    </w:p>
    <w:p w:rsidR="00EA4BF9" w:rsidRPr="00190574" w:rsidRDefault="00EA4BF9" w:rsidP="008E371B">
      <w:pPr>
        <w:pStyle w:val="Heading1ES"/>
        <w:rPr>
          <w:rFonts w:ascii="Times New Roman" w:hAnsi="Times New Roman"/>
          <w:color w:val="auto"/>
          <w:sz w:val="24"/>
          <w:szCs w:val="24"/>
        </w:rPr>
        <w:sectPr w:rsidR="00EA4BF9" w:rsidRPr="00190574" w:rsidSect="006629C8">
          <w:headerReference w:type="default" r:id="rId36"/>
          <w:pgSz w:w="12240" w:h="15840"/>
          <w:pgMar w:top="1440" w:right="1440" w:bottom="1440" w:left="1440" w:header="720" w:footer="720" w:gutter="0"/>
          <w:cols w:space="360"/>
          <w:docGrid w:linePitch="360"/>
        </w:sectPr>
      </w:pPr>
    </w:p>
    <w:p w:rsidR="00C674E8" w:rsidRPr="002835A7" w:rsidRDefault="008E371B" w:rsidP="008E371B">
      <w:pPr>
        <w:pStyle w:val="Heading1ES"/>
        <w:rPr>
          <w:rFonts w:ascii="Times New Roman" w:hAnsi="Times New Roman"/>
          <w:color w:val="auto"/>
          <w:szCs w:val="28"/>
        </w:rPr>
      </w:pPr>
      <w:bookmarkStart w:id="36" w:name="_Toc484000172"/>
      <w:r w:rsidRPr="002835A7">
        <w:rPr>
          <w:rFonts w:ascii="Times New Roman" w:hAnsi="Times New Roman"/>
          <w:color w:val="auto"/>
          <w:szCs w:val="28"/>
        </w:rPr>
        <w:lastRenderedPageBreak/>
        <w:t>A</w:t>
      </w:r>
      <w:r w:rsidR="007C62D2" w:rsidRPr="002835A7">
        <w:rPr>
          <w:rFonts w:ascii="Times New Roman" w:hAnsi="Times New Roman"/>
          <w:color w:val="auto"/>
          <w:szCs w:val="28"/>
        </w:rPr>
        <w:t>ppendix A</w:t>
      </w:r>
      <w:r w:rsidRPr="002835A7">
        <w:rPr>
          <w:rFonts w:ascii="Times New Roman" w:hAnsi="Times New Roman"/>
          <w:color w:val="auto"/>
          <w:szCs w:val="28"/>
        </w:rPr>
        <w:t>. SCC Crosswalks and Emission Factors</w:t>
      </w:r>
      <w:bookmarkEnd w:id="36"/>
    </w:p>
    <w:p w:rsidR="006100DB" w:rsidRPr="00190574" w:rsidRDefault="006100DB" w:rsidP="006100DB">
      <w:pPr>
        <w:pStyle w:val="Caption"/>
        <w:keepNext/>
        <w:ind w:firstLine="0"/>
        <w:jc w:val="center"/>
        <w:rPr>
          <w:rFonts w:ascii="Times New Roman" w:hAnsi="Times New Roman"/>
          <w:sz w:val="24"/>
          <w:szCs w:val="24"/>
        </w:rPr>
      </w:pPr>
    </w:p>
    <w:p w:rsidR="006100DB" w:rsidRPr="00190574" w:rsidRDefault="006100DB" w:rsidP="006100DB">
      <w:pPr>
        <w:pStyle w:val="Caption"/>
        <w:keepNext/>
        <w:ind w:firstLine="0"/>
        <w:jc w:val="center"/>
        <w:rPr>
          <w:rFonts w:ascii="Times New Roman" w:hAnsi="Times New Roman"/>
          <w:sz w:val="24"/>
          <w:szCs w:val="24"/>
        </w:rPr>
      </w:pPr>
      <w:bookmarkStart w:id="37" w:name="_Toc484000185"/>
      <w:r w:rsidRPr="00190574">
        <w:rPr>
          <w:rFonts w:ascii="Times New Roman" w:hAnsi="Times New Roman"/>
          <w:sz w:val="24"/>
          <w:szCs w:val="24"/>
        </w:rPr>
        <w:t>Table A-</w:t>
      </w:r>
      <w:r w:rsidRPr="00190574">
        <w:rPr>
          <w:rFonts w:ascii="Times New Roman" w:hAnsi="Times New Roman"/>
          <w:sz w:val="24"/>
          <w:szCs w:val="24"/>
        </w:rPr>
        <w:fldChar w:fldCharType="begin"/>
      </w:r>
      <w:r w:rsidRPr="00190574">
        <w:rPr>
          <w:rFonts w:ascii="Times New Roman" w:hAnsi="Times New Roman"/>
          <w:sz w:val="24"/>
          <w:szCs w:val="24"/>
        </w:rPr>
        <w:instrText xml:space="preserve"> SEQ Table \r 1 \* ARABIC </w:instrText>
      </w:r>
      <w:r w:rsidRPr="00190574">
        <w:rPr>
          <w:rFonts w:ascii="Times New Roman" w:hAnsi="Times New Roman"/>
          <w:sz w:val="24"/>
          <w:szCs w:val="24"/>
        </w:rPr>
        <w:fldChar w:fldCharType="separate"/>
      </w:r>
      <w:r w:rsidR="0021591B" w:rsidRPr="00190574">
        <w:rPr>
          <w:rFonts w:ascii="Times New Roman" w:hAnsi="Times New Roman"/>
          <w:noProof/>
          <w:sz w:val="24"/>
          <w:szCs w:val="24"/>
        </w:rPr>
        <w:t>1</w:t>
      </w:r>
      <w:r w:rsidRPr="00190574">
        <w:rPr>
          <w:rFonts w:ascii="Times New Roman" w:hAnsi="Times New Roman"/>
          <w:sz w:val="24"/>
          <w:szCs w:val="24"/>
        </w:rPr>
        <w:fldChar w:fldCharType="end"/>
      </w:r>
      <w:r w:rsidRPr="00190574">
        <w:rPr>
          <w:rFonts w:ascii="Times New Roman" w:hAnsi="Times New Roman"/>
          <w:sz w:val="24"/>
          <w:szCs w:val="24"/>
        </w:rPr>
        <w:t>. Industrial Fuel Combustion Crosswalk for Point Source Subtractions</w:t>
      </w:r>
      <w:bookmarkEnd w:id="37"/>
    </w:p>
    <w:tbl>
      <w:tblPr>
        <w:tblW w:w="12705" w:type="dxa"/>
        <w:tblInd w:w="93" w:type="dxa"/>
        <w:tblLook w:val="04A0" w:firstRow="1" w:lastRow="0" w:firstColumn="1" w:lastColumn="0" w:noHBand="0" w:noVBand="1"/>
        <w:tblCaption w:val="Table A-1. Industrial Fuel Combustion Crosswalk for Point Source Subtractions"/>
        <w:tblDescription w:val="Point SCC SCC1 DESC SCC3 DESC SCC6 DESC SCC8 DESC"/>
      </w:tblPr>
      <w:tblGrid>
        <w:gridCol w:w="1176"/>
        <w:gridCol w:w="2828"/>
        <w:gridCol w:w="1906"/>
        <w:gridCol w:w="2579"/>
        <w:gridCol w:w="4216"/>
      </w:tblGrid>
      <w:tr w:rsidR="00190574" w:rsidRPr="00190574" w:rsidTr="001C7751">
        <w:trPr>
          <w:cantSplit/>
          <w:trHeight w:val="315"/>
          <w:tblHeader/>
        </w:trPr>
        <w:tc>
          <w:tcPr>
            <w:tcW w:w="940" w:type="dxa"/>
            <w:tcBorders>
              <w:top w:val="single" w:sz="8" w:space="0" w:color="auto"/>
              <w:left w:val="nil"/>
              <w:bottom w:val="single" w:sz="8" w:space="0" w:color="auto"/>
              <w:right w:val="nil"/>
            </w:tcBorders>
            <w:shd w:val="clear" w:color="000000" w:fill="B8CCE4"/>
            <w:vAlign w:val="center"/>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Point SCC</w:t>
            </w:r>
          </w:p>
        </w:tc>
        <w:tc>
          <w:tcPr>
            <w:tcW w:w="2920" w:type="dxa"/>
            <w:tcBorders>
              <w:top w:val="single" w:sz="8" w:space="0" w:color="auto"/>
              <w:left w:val="nil"/>
              <w:bottom w:val="single" w:sz="8" w:space="0" w:color="auto"/>
              <w:right w:val="nil"/>
            </w:tcBorders>
            <w:shd w:val="clear" w:color="000000" w:fill="B8CCE4"/>
            <w:vAlign w:val="center"/>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SCC1 DESC</w:t>
            </w:r>
          </w:p>
        </w:tc>
        <w:tc>
          <w:tcPr>
            <w:tcW w:w="1915" w:type="dxa"/>
            <w:tcBorders>
              <w:top w:val="single" w:sz="8" w:space="0" w:color="auto"/>
              <w:left w:val="nil"/>
              <w:bottom w:val="single" w:sz="8" w:space="0" w:color="auto"/>
              <w:right w:val="nil"/>
            </w:tcBorders>
            <w:shd w:val="clear" w:color="000000" w:fill="B8CCE4"/>
            <w:vAlign w:val="center"/>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SCC3 DESC</w:t>
            </w:r>
          </w:p>
        </w:tc>
        <w:tc>
          <w:tcPr>
            <w:tcW w:w="2610" w:type="dxa"/>
            <w:tcBorders>
              <w:top w:val="single" w:sz="8" w:space="0" w:color="auto"/>
              <w:left w:val="nil"/>
              <w:bottom w:val="single" w:sz="8" w:space="0" w:color="auto"/>
              <w:right w:val="nil"/>
            </w:tcBorders>
            <w:shd w:val="clear" w:color="000000" w:fill="B8CCE4"/>
            <w:vAlign w:val="center"/>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SCC6 DESC</w:t>
            </w:r>
          </w:p>
        </w:tc>
        <w:tc>
          <w:tcPr>
            <w:tcW w:w="4320" w:type="dxa"/>
            <w:tcBorders>
              <w:top w:val="single" w:sz="8" w:space="0" w:color="auto"/>
              <w:left w:val="nil"/>
              <w:bottom w:val="single" w:sz="8" w:space="0" w:color="auto"/>
              <w:right w:val="nil"/>
            </w:tcBorders>
            <w:shd w:val="clear" w:color="000000" w:fill="B8CCE4"/>
            <w:vAlign w:val="center"/>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SCC8 DESC</w:t>
            </w:r>
          </w:p>
        </w:tc>
      </w:tr>
      <w:tr w:rsidR="00190574" w:rsidRPr="00190574" w:rsidTr="001C7751">
        <w:trPr>
          <w:cantSplit/>
          <w:trHeight w:val="300"/>
        </w:trPr>
        <w:tc>
          <w:tcPr>
            <w:tcW w:w="12705" w:type="dxa"/>
            <w:gridSpan w:val="5"/>
            <w:tcBorders>
              <w:top w:val="nil"/>
              <w:left w:val="single" w:sz="4" w:space="0" w:color="C0C0C0"/>
              <w:bottom w:val="single" w:sz="4" w:space="0" w:color="C0C0C0"/>
              <w:right w:val="single" w:sz="4" w:space="0" w:color="C0C0C0"/>
            </w:tcBorders>
            <w:shd w:val="clear" w:color="auto" w:fill="D6E3BC" w:themeFill="accent3" w:themeFillTint="66"/>
            <w:vAlign w:val="bottom"/>
          </w:tcPr>
          <w:p w:rsidR="00A5046D" w:rsidRPr="00190574" w:rsidRDefault="00A5046D" w:rsidP="00A5046D">
            <w:pPr>
              <w:jc w:val="center"/>
              <w:rPr>
                <w:rFonts w:ascii="Times New Roman" w:hAnsi="Times New Roman"/>
                <w:b/>
                <w:bCs/>
                <w:sz w:val="24"/>
              </w:rPr>
            </w:pPr>
            <w:r w:rsidRPr="00190574">
              <w:rPr>
                <w:rFonts w:ascii="Times New Roman" w:hAnsi="Times New Roman"/>
                <w:b/>
                <w:bCs/>
                <w:sz w:val="24"/>
              </w:rPr>
              <w:t>2102001000 - Stationary Source Fuel Combustion; Industrial; Anthracite Coal; Total: All Boiler Types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10200101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Anthracite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Pulverized Coal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10200104</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Anthracite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Traveling Grate (Overfeed) Stoker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10200107</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Anthracite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Hand-fired</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10200117</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Anthracite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Fluidized Bed Boiler Burning Anthracite-Culm Fuel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39000199</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Anthracite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General</w:t>
            </w:r>
          </w:p>
        </w:tc>
      </w:tr>
      <w:tr w:rsidR="00190574" w:rsidRPr="00190574" w:rsidTr="001C7751">
        <w:trPr>
          <w:cantSplit/>
          <w:trHeight w:val="300"/>
        </w:trPr>
        <w:tc>
          <w:tcPr>
            <w:tcW w:w="12705" w:type="dxa"/>
            <w:gridSpan w:val="5"/>
            <w:tcBorders>
              <w:top w:val="nil"/>
              <w:left w:val="single" w:sz="4" w:space="0" w:color="C0C0C0"/>
              <w:bottom w:val="single" w:sz="4" w:space="0" w:color="C0C0C0"/>
              <w:right w:val="single" w:sz="4" w:space="0" w:color="C0C0C0"/>
            </w:tcBorders>
            <w:shd w:val="clear" w:color="auto" w:fill="D6E3BC" w:themeFill="accent3" w:themeFillTint="66"/>
            <w:vAlign w:val="bottom"/>
          </w:tcPr>
          <w:p w:rsidR="00A5046D" w:rsidRPr="00190574" w:rsidRDefault="00A5046D" w:rsidP="00A5046D">
            <w:pPr>
              <w:jc w:val="center"/>
              <w:rPr>
                <w:rFonts w:ascii="Times New Roman" w:hAnsi="Times New Roman"/>
                <w:b/>
                <w:bCs/>
                <w:sz w:val="24"/>
              </w:rPr>
            </w:pPr>
            <w:r w:rsidRPr="00190574">
              <w:rPr>
                <w:rFonts w:ascii="Times New Roman" w:hAnsi="Times New Roman"/>
                <w:b/>
                <w:bCs/>
                <w:sz w:val="24"/>
              </w:rPr>
              <w:t>2102002000 - Stationary Source Fuel Combustion; Industrial; Bituminous/Subbituminous Coal; Total: All Boiler Types</w:t>
            </w:r>
          </w:p>
        </w:tc>
      </w:tr>
      <w:tr w:rsidR="00190574" w:rsidRPr="00190574" w:rsidTr="001C7751">
        <w:trPr>
          <w:cantSplit/>
          <w:trHeight w:val="300"/>
        </w:trPr>
        <w:tc>
          <w:tcPr>
            <w:tcW w:w="94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10200201</w:t>
            </w:r>
          </w:p>
        </w:tc>
        <w:tc>
          <w:tcPr>
            <w:tcW w:w="292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Bituminous Coal</w:t>
            </w:r>
          </w:p>
        </w:tc>
        <w:tc>
          <w:tcPr>
            <w:tcW w:w="432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Pulverized Coal: Wet Bottom</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Pulverized Coal: Dry Bottom</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Cyclone Furnace</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10200204</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Spreader Stoker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Overfeed Stoker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10200206</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Underfeed Stoker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10200212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Pulverized Coal: Dry Bottom (Tangential)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10200213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Wet Slurry</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10200217</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Atmospheric Fluidized Bed Combustion: Bubbling Bed</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10200218</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Atmospheric Fluidized Bed Combustion: Circulating Bed</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10200219</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Cogeneration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10200221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Subbituminous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Pulverized Coal: Wet Bottom</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10200222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Subbituminous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Pulverized Coal: Dry Bottom</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10200223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Subbituminous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Cyclone Furnace</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10200224</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Subbituminous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Spreader Stoker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10200225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Subbituminous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Traveling Grate (Overfeed) Stoker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10200226</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Subbituminous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Pulverized Coal: Dry Bottom Tangential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10200229</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Subbituminous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Cogeneration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39000201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Cement Kiln/Dryer (Bituminous Coal)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39000203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Lime Kiln (Bituminous)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39000288</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General (Subbituminous)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39000289</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Bituminous Coal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General (Bituminous)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50390002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Waste Disposal</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Solid Waste Disposal - 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Auxillary Fuel/No Emissions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Coal</w:t>
            </w:r>
          </w:p>
        </w:tc>
      </w:tr>
      <w:tr w:rsidR="00190574" w:rsidRPr="00190574" w:rsidTr="001C7751">
        <w:trPr>
          <w:cantSplit/>
          <w:trHeight w:val="305"/>
        </w:trPr>
        <w:tc>
          <w:tcPr>
            <w:tcW w:w="12705" w:type="dxa"/>
            <w:gridSpan w:val="5"/>
            <w:tcBorders>
              <w:top w:val="nil"/>
              <w:left w:val="single" w:sz="4" w:space="0" w:color="C0C0C0"/>
              <w:bottom w:val="single" w:sz="4" w:space="0" w:color="C0C0C0"/>
              <w:right w:val="single" w:sz="4" w:space="0" w:color="C0C0C0"/>
            </w:tcBorders>
            <w:shd w:val="clear" w:color="auto" w:fill="D6E3BC" w:themeFill="accent3" w:themeFillTint="66"/>
            <w:vAlign w:val="bottom"/>
          </w:tcPr>
          <w:p w:rsidR="00A5046D" w:rsidRPr="00190574" w:rsidRDefault="00A5046D" w:rsidP="00A5046D">
            <w:pPr>
              <w:jc w:val="center"/>
              <w:rPr>
                <w:rFonts w:ascii="Times New Roman" w:hAnsi="Times New Roman"/>
                <w:b/>
                <w:bCs/>
                <w:sz w:val="24"/>
              </w:rPr>
            </w:pPr>
            <w:r w:rsidRPr="00190574">
              <w:rPr>
                <w:rFonts w:ascii="Times New Roman" w:hAnsi="Times New Roman"/>
                <w:b/>
                <w:bCs/>
                <w:sz w:val="24"/>
              </w:rPr>
              <w:t>2102004001 - Stationary Source Fuel Combustion; Industrial; Distillate Oil; Boilers</w:t>
            </w:r>
          </w:p>
        </w:tc>
      </w:tr>
      <w:tr w:rsidR="00190574" w:rsidRPr="00190574" w:rsidTr="001C7751">
        <w:trPr>
          <w:cantSplit/>
          <w:trHeight w:val="300"/>
        </w:trPr>
        <w:tc>
          <w:tcPr>
            <w:tcW w:w="94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10200501</w:t>
            </w:r>
          </w:p>
        </w:tc>
        <w:tc>
          <w:tcPr>
            <w:tcW w:w="292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w:t>
            </w:r>
          </w:p>
        </w:tc>
        <w:tc>
          <w:tcPr>
            <w:tcW w:w="432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Grades 1 and 2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10200502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10-100 Million BTU/hr **</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10200503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&lt; 10 Million BTU/hr **</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10200504</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Grade 4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10200505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Cogeneration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10201403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CO Boiler</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10500105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Space Heaters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30190001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Chemical Manufacturing</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30190011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Chemical Manufacturing</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30190021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Chemical Manufacturing</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30290001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Food and Agriculture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30390001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Primary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30390011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Primary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30390021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Primary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30400406</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Secondary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Lead</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Pot Furnace Heater: Distillate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30490001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Secondary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30490011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Secondary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30490021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Secondary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30490031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Secondary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Furnaces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30500208</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Concrete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Heater: Distillate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30505022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Processing (Blowing)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Heater: Distillate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30590001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30590011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30590021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30600901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Industry</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Flares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30609901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Industry</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Incinerators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30890001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Rubber and Miscellaneous Plastics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Process Heaters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30890011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Rubber and Miscellaneous Plastics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Incinerators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30890021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Rubber and Miscellaneous Plastics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30990001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Fabricated Metal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30990011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Fabricated Metal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31390001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Electrical Equipment</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Process Heaters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39000501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Dryer **</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39000502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Cement Kiln/Dryer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39000503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Lime Kiln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39000598</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Grade 4 Oil: General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39000599</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General</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39900501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Process Heater/Furnace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39990001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Process Heaters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39990011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Incinerators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39990021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Oil):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40201002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and Solvent Evaporation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Surface Coating Operations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Coating Oven Heater</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40290011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and Solvent Evaporation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Surface Coating Operations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Incinerator/Afterburner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49090011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and Solvent Evaporation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Organic Solvent Evaporation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49090021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and Solvent Evaporation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Organic Solvent Evaporation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(No. 2): Flares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50390005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Waste Disposal</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Solid Waste Disposal - 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Auxiliary Fuel/No Emissions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w:t>
            </w:r>
          </w:p>
        </w:tc>
      </w:tr>
      <w:tr w:rsidR="00190574" w:rsidRPr="00190574" w:rsidTr="001C7751">
        <w:trPr>
          <w:cantSplit/>
          <w:trHeight w:val="287"/>
        </w:trPr>
        <w:tc>
          <w:tcPr>
            <w:tcW w:w="12705" w:type="dxa"/>
            <w:gridSpan w:val="5"/>
            <w:tcBorders>
              <w:top w:val="nil"/>
              <w:left w:val="single" w:sz="4" w:space="0" w:color="C0C0C0"/>
              <w:bottom w:val="single" w:sz="4" w:space="0" w:color="C0C0C0"/>
              <w:right w:val="single" w:sz="4" w:space="0" w:color="C0C0C0"/>
            </w:tcBorders>
            <w:shd w:val="clear" w:color="auto" w:fill="D6E3BC" w:themeFill="accent3" w:themeFillTint="66"/>
            <w:vAlign w:val="bottom"/>
          </w:tcPr>
          <w:p w:rsidR="001C7751" w:rsidRPr="00190574" w:rsidRDefault="001C7751" w:rsidP="001C7751">
            <w:pPr>
              <w:jc w:val="center"/>
              <w:rPr>
                <w:rFonts w:ascii="Times New Roman" w:hAnsi="Times New Roman"/>
                <w:b/>
                <w:bCs/>
                <w:sz w:val="24"/>
              </w:rPr>
            </w:pPr>
            <w:r w:rsidRPr="00190574">
              <w:rPr>
                <w:rFonts w:ascii="Times New Roman" w:hAnsi="Times New Roman"/>
                <w:b/>
                <w:bCs/>
                <w:sz w:val="24"/>
              </w:rPr>
              <w:t>2102004002 - Stationary Source Fuel Combustion; Industrial; Distillate Oil; IC Engines</w:t>
            </w:r>
          </w:p>
        </w:tc>
      </w:tr>
      <w:tr w:rsidR="00190574" w:rsidRPr="00190574" w:rsidTr="001C7751">
        <w:trPr>
          <w:cantSplit/>
          <w:trHeight w:val="300"/>
        </w:trPr>
        <w:tc>
          <w:tcPr>
            <w:tcW w:w="94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20200101</w:t>
            </w:r>
          </w:p>
        </w:tc>
        <w:tc>
          <w:tcPr>
            <w:tcW w:w="292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(Diesel)</w:t>
            </w:r>
          </w:p>
        </w:tc>
        <w:tc>
          <w:tcPr>
            <w:tcW w:w="432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Turbine</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20200102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(Diesel)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20200103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(Diesel)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Turbine: Cogeneration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20200104</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(Diesel)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Cogeneration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20200105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(Diesel)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Crankcase Blowby</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20200106</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(Diesel)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Evaporative Losses (Fuel Storage and Delivery System)</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20200107</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(Diesel)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Exhaust</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20200108</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(Diesel)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Turbine: Evaporative Losses (Fuel Storage and Delivery System)</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20200109</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Distillate Oil (Diesel)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Turbine: Exhaust</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20200401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Large Bore Engine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Diesel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20200405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Large Bore Engine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Crankcase Blowby</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20200406</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Large Bore Engine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Evaporative Losses (Fuel Storage and Delivery System)</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20200407</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Large Bore Engine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Exhaust</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27000320</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Off-highway Diesel Engines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Fork Lift: Diesel</w:t>
            </w:r>
          </w:p>
        </w:tc>
      </w:tr>
      <w:tr w:rsidR="00190574" w:rsidRPr="00190574" w:rsidTr="001C7751">
        <w:trPr>
          <w:cantSplit/>
          <w:trHeight w:val="300"/>
        </w:trPr>
        <w:tc>
          <w:tcPr>
            <w:tcW w:w="12705" w:type="dxa"/>
            <w:gridSpan w:val="5"/>
            <w:tcBorders>
              <w:top w:val="nil"/>
              <w:left w:val="single" w:sz="4" w:space="0" w:color="C0C0C0"/>
              <w:bottom w:val="single" w:sz="4" w:space="0" w:color="C0C0C0"/>
              <w:right w:val="single" w:sz="4" w:space="0" w:color="C0C0C0"/>
            </w:tcBorders>
            <w:shd w:val="clear" w:color="auto" w:fill="D6E3BC" w:themeFill="accent3" w:themeFillTint="66"/>
            <w:vAlign w:val="bottom"/>
          </w:tcPr>
          <w:p w:rsidR="001C7751" w:rsidRPr="00190574" w:rsidRDefault="001C7751" w:rsidP="001C7751">
            <w:pPr>
              <w:jc w:val="center"/>
              <w:rPr>
                <w:rFonts w:ascii="Times New Roman" w:hAnsi="Times New Roman"/>
                <w:b/>
                <w:bCs/>
                <w:sz w:val="24"/>
              </w:rPr>
            </w:pPr>
            <w:r w:rsidRPr="00190574">
              <w:rPr>
                <w:rFonts w:ascii="Times New Roman" w:hAnsi="Times New Roman"/>
                <w:b/>
                <w:bCs/>
                <w:sz w:val="24"/>
              </w:rPr>
              <w:t>2102005000 - Stationary Source Fuel Combustion; Industrial; Residual Oil; Total: All Boiler Types</w:t>
            </w:r>
          </w:p>
        </w:tc>
      </w:tr>
      <w:tr w:rsidR="00190574" w:rsidRPr="00190574" w:rsidTr="001C7751">
        <w:trPr>
          <w:cantSplit/>
          <w:trHeight w:val="300"/>
        </w:trPr>
        <w:tc>
          <w:tcPr>
            <w:tcW w:w="94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10200401</w:t>
            </w:r>
          </w:p>
        </w:tc>
        <w:tc>
          <w:tcPr>
            <w:tcW w:w="292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w:t>
            </w:r>
          </w:p>
        </w:tc>
        <w:tc>
          <w:tcPr>
            <w:tcW w:w="432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Grade 6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10200402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10-100 Million BTU/hr **</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10200403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&lt; 10 Million BTU/hr **</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10200404</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Grade 5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10200405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Cogeneration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10201404</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CO Boiler</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20200501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Residual/Crude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20200505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Residual/Crude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Crankcase Blowby</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20200506</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Residual/Crude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Evaporative Losses (Fuel Storage and Delivery System)</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20200507</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Residual/Crude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Exhaust</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30190002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Chemical Manufacturing</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30190012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Chemical Manufacturing</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30190022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Chemical Manufacturing</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30290002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Food and Agriculture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30390002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Primary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30390012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Primary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30390022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Primary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30490002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Secondary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30490012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Secondary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30490022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Secondary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30490032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Secondary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Furnaces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30500207</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Concrete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Heater: Residual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30505021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Processing (Blowing)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Heater: Residual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30590002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30590012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30600111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Industry</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Process Heaters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Oil-fired (No. 6 Oil) : 100 Million Btu Capacity</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30600902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Industry</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Flares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30609902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Industry</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Incinerators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30890002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Rubber and Miscellaneous Plastics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Process Heaters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30890012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Rubber and Miscellaneous Plastics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Incinerators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30890022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Rubber and Miscellaneous Plastics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30990002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Fabricated Metal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30990012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Fabricated Metal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31000402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Oil and Gas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Process Heaters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31000412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Oil and Gas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Process Heaters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Steam Generators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31390002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Electrical Equipment</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Process Heaters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39000402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Cement Kiln/Dryer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39000403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Lime Kiln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39000499</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General</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39990002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Process Heaters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39990012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Incinerators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39990022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40201003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and Solvent Evaporation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Surface Coating Operations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Coating Oven Heater</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40290012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and Solvent Evaporation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Surface Coating Operations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Incinerator/Afterburner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49090012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and Solvent Evaporation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Organic Solvent Evaporation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49090022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and Solvent Evaporation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Organic Solvent Evaporation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Residual Oil: Flares</w:t>
            </w:r>
          </w:p>
        </w:tc>
      </w:tr>
      <w:tr w:rsidR="00190574" w:rsidRPr="00190574" w:rsidTr="001C7751">
        <w:trPr>
          <w:cantSplit/>
          <w:trHeight w:val="300"/>
        </w:trPr>
        <w:tc>
          <w:tcPr>
            <w:tcW w:w="12705" w:type="dxa"/>
            <w:gridSpan w:val="5"/>
            <w:tcBorders>
              <w:top w:val="nil"/>
              <w:left w:val="single" w:sz="4" w:space="0" w:color="C0C0C0"/>
              <w:bottom w:val="single" w:sz="4" w:space="0" w:color="C0C0C0"/>
              <w:right w:val="single" w:sz="4" w:space="0" w:color="C0C0C0"/>
            </w:tcBorders>
            <w:shd w:val="clear" w:color="auto" w:fill="D6E3BC" w:themeFill="accent3" w:themeFillTint="66"/>
            <w:vAlign w:val="bottom"/>
          </w:tcPr>
          <w:p w:rsidR="001C7751" w:rsidRPr="00190574" w:rsidRDefault="001C7751" w:rsidP="001C7751">
            <w:pPr>
              <w:jc w:val="center"/>
              <w:rPr>
                <w:rFonts w:ascii="Times New Roman" w:hAnsi="Times New Roman"/>
                <w:b/>
                <w:bCs/>
                <w:sz w:val="24"/>
              </w:rPr>
            </w:pPr>
            <w:r w:rsidRPr="00190574">
              <w:rPr>
                <w:rFonts w:ascii="Times New Roman" w:hAnsi="Times New Roman"/>
                <w:b/>
                <w:bCs/>
                <w:sz w:val="24"/>
              </w:rPr>
              <w:t>2102006000 - Stationary Source Fuel Combustion; Industrial; Natural Gas; Total: Boilers and IC Engines</w:t>
            </w:r>
          </w:p>
        </w:tc>
      </w:tr>
      <w:tr w:rsidR="00190574" w:rsidRPr="00190574" w:rsidTr="001C7751">
        <w:trPr>
          <w:cantSplit/>
          <w:trHeight w:val="300"/>
        </w:trPr>
        <w:tc>
          <w:tcPr>
            <w:tcW w:w="94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10200601</w:t>
            </w:r>
          </w:p>
        </w:tc>
        <w:tc>
          <w:tcPr>
            <w:tcW w:w="292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&gt; 100 Million BTU/hr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10200602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10-100 Million BTU/hr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10200603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&lt; 10 Million BTU/hr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10200604</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Cogeneration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10201401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CO Boiler</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10500106</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Space Heaters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20200201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Turbine</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20200202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20200203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Turbine: Cogeneration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20200204</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Cogeneration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20200205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Crankcase Blowby</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20200206</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Evaporative Losses (Fuel Delivery System)</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20200207</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Exhaust</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20200208</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Turbine: Evaporative Losses (Fuel Delivery System)</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20200209</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Turbine: Exhaust</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20200251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2-cycle Rich Burn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20200252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2-cycle Lean Burn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20200253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4-cycle Rich Burn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20200254</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4-cycle Lean Burn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20200255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2-cycle Clean Burn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20200256</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4-cycle Clean Burn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30190003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Chemical Manufacturing</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30190013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Chemical Manufacturing</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30190023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Chemical Manufacturing</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30290003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Food and Agriculture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30291001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Food and Agriculture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Broiling Food: Natural Gas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30390003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Primary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30390013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Primary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30390023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Primary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30400407</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Secondary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Lead</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Pot Furnace Heater: Natural Gas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30490003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Secondary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30490013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Secondary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30490023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Secondary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30490033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Secondary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Furnaces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30500206</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Concrete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Heater: Natural Gas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30505020</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Processing (Blowing)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Heater: Natural Gas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30590003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30590013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30590023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30600105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Industry</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Process Heaters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Gas-fired</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30600903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Industry</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Flares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30609903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Industry</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Incinerators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30890003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Rubber and Miscellaneous Plastics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Process Heaters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30890013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Rubber and Miscellaneous Plastics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Incinerators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30890023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Rubber and Miscellaneous Plastics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30990003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Fabricated Metal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30990013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Fabricated Metal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30990023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Fabricated Metal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31000404</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Oil and Gas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Process Heaters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31390003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Electrical Equipment</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Process Heaters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39000602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Cement Kiln/Dryer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39000603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Lime Kiln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39000605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Metal Melting **</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39000699</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General</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39900601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Process Heater/Furnace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39990003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Process Heaters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39990013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Incinerators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39990023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40201001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and Solvent Evaporation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Surface Coating Operations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Coating Oven Heater</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40290013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and Solvent Evaporation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Surface Coating Operations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Incinerator/Afterburner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40290023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and Solvent Evaporation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Surface Coating Operations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Flares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49090013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and Solvent Evaporation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Organic Solvent Evaporation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Incinerators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49090023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and Solvent Evaporation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Organic Solvent Evaporation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 Flares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50390006</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Waste Disposal</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Solid Waste Disposal - 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Auxillary Fuel/No Emissions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Natural Gas</w:t>
            </w:r>
          </w:p>
        </w:tc>
      </w:tr>
      <w:tr w:rsidR="00190574" w:rsidRPr="00190574" w:rsidTr="001C7751">
        <w:trPr>
          <w:cantSplit/>
          <w:trHeight w:val="305"/>
        </w:trPr>
        <w:tc>
          <w:tcPr>
            <w:tcW w:w="12705" w:type="dxa"/>
            <w:gridSpan w:val="5"/>
            <w:tcBorders>
              <w:top w:val="nil"/>
              <w:left w:val="single" w:sz="4" w:space="0" w:color="C0C0C0"/>
              <w:bottom w:val="single" w:sz="4" w:space="0" w:color="C0C0C0"/>
              <w:right w:val="single" w:sz="4" w:space="0" w:color="C0C0C0"/>
            </w:tcBorders>
            <w:shd w:val="clear" w:color="auto" w:fill="D6E3BC" w:themeFill="accent3" w:themeFillTint="66"/>
            <w:vAlign w:val="bottom"/>
          </w:tcPr>
          <w:p w:rsidR="001C7751" w:rsidRPr="00190574" w:rsidRDefault="001C7751" w:rsidP="001C7751">
            <w:pPr>
              <w:jc w:val="center"/>
              <w:rPr>
                <w:rFonts w:ascii="Times New Roman" w:hAnsi="Times New Roman"/>
                <w:b/>
                <w:bCs/>
                <w:sz w:val="24"/>
              </w:rPr>
            </w:pPr>
            <w:r w:rsidRPr="00190574">
              <w:rPr>
                <w:rFonts w:ascii="Times New Roman" w:hAnsi="Times New Roman"/>
                <w:b/>
                <w:bCs/>
                <w:sz w:val="24"/>
              </w:rPr>
              <w:t>2102007000 - Stationary Source Fuel Combustion; Industrial; Liquified Petroleum Gas (LPG); Total: All Boiler Types</w:t>
            </w:r>
          </w:p>
        </w:tc>
      </w:tr>
      <w:tr w:rsidR="00190574" w:rsidRPr="00190574" w:rsidTr="001C7751">
        <w:trPr>
          <w:cantSplit/>
          <w:trHeight w:val="300"/>
        </w:trPr>
        <w:tc>
          <w:tcPr>
            <w:tcW w:w="94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10201001</w:t>
            </w:r>
          </w:p>
        </w:tc>
        <w:tc>
          <w:tcPr>
            <w:tcW w:w="292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432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Butane</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10201002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Propane</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10201003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Butane/Propane Mixture: Specify Percent Butane in Comments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10500110</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Space Heaters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20201001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Propane: Reciprocating</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20201002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Butane: Reciprocating</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20201005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Crankcase Blowby</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20201006</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Evaporative Losses (Fuel Storage and Delivery System)</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20201007</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Exhaust</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20201008</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Turbine: Evaporative Losses (Fuel Storage and Delivery System)</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20201009</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Turbine: Exhaust</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20201011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Turbine</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20201012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Engine</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20201013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Turbine: Cogeneration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20201014</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Engine: Cogeneration</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27300320</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Off-highway LPG-fueled Engines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Fork Lift: Liquified Petroleum Gas (LPG)</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30290005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Food and Agriculture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30490035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Secondary Metal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Propane: Furnaces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30500209</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Concrete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Heater: LPG</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30505023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Processing (Blowing)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Asphalt Heater: LP Gas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30590005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Mineral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30600107</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Industry</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Process Heaters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LPG-fired</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30600905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Industry</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Flares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30609905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Industry</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Incinerators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30890004</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Rubber and Miscellaneous Plastics Products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Fired Equipment</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 Process Heaters</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31000406</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Oil and Gas Production</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Process Heaters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Propane/Butane</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39001099</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General</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39901001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Miscellaneous Manufacturing Industries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Process Heater/Furnace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LPG</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40201004</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Petroleum and Solvent Evaporation</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Surface Coating Operations</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Coating Oven Heater</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r>
      <w:tr w:rsidR="00190574" w:rsidRPr="00190574" w:rsidTr="001C7751">
        <w:trPr>
          <w:cantSplit/>
          <w:trHeight w:val="45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50390010</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Waste Disposal</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Solid Waste Disposal - 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Auxillary Fuel/No Emissions</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Liquified Petroleum Gas (LPG)</w:t>
            </w:r>
          </w:p>
        </w:tc>
      </w:tr>
      <w:tr w:rsidR="00190574" w:rsidRPr="00190574" w:rsidTr="001C7751">
        <w:trPr>
          <w:cantSplit/>
          <w:trHeight w:val="278"/>
        </w:trPr>
        <w:tc>
          <w:tcPr>
            <w:tcW w:w="12705" w:type="dxa"/>
            <w:gridSpan w:val="5"/>
            <w:tcBorders>
              <w:top w:val="nil"/>
              <w:left w:val="single" w:sz="4" w:space="0" w:color="C0C0C0"/>
              <w:bottom w:val="single" w:sz="4" w:space="0" w:color="C0C0C0"/>
              <w:right w:val="single" w:sz="4" w:space="0" w:color="C0C0C0"/>
            </w:tcBorders>
            <w:shd w:val="clear" w:color="auto" w:fill="D6E3BC" w:themeFill="accent3" w:themeFillTint="66"/>
            <w:vAlign w:val="bottom"/>
          </w:tcPr>
          <w:p w:rsidR="001C7751" w:rsidRPr="00190574" w:rsidRDefault="001C7751" w:rsidP="001C7751">
            <w:pPr>
              <w:jc w:val="center"/>
              <w:rPr>
                <w:rFonts w:ascii="Times New Roman" w:hAnsi="Times New Roman"/>
                <w:b/>
                <w:bCs/>
                <w:sz w:val="24"/>
              </w:rPr>
            </w:pPr>
            <w:r w:rsidRPr="00190574">
              <w:rPr>
                <w:rFonts w:ascii="Times New Roman" w:hAnsi="Times New Roman"/>
                <w:b/>
                <w:bCs/>
                <w:sz w:val="24"/>
              </w:rPr>
              <w:t>2102008000 - Stationary Source Fuel Combustion; Industrial; Wood; Total: All Boiler Types</w:t>
            </w:r>
          </w:p>
        </w:tc>
      </w:tr>
      <w:tr w:rsidR="00190574" w:rsidRPr="00190574" w:rsidTr="001C7751">
        <w:trPr>
          <w:cantSplit/>
          <w:trHeight w:val="300"/>
        </w:trPr>
        <w:tc>
          <w:tcPr>
            <w:tcW w:w="94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10200901</w:t>
            </w:r>
          </w:p>
        </w:tc>
        <w:tc>
          <w:tcPr>
            <w:tcW w:w="292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Wood/Bark Waste</w:t>
            </w:r>
          </w:p>
        </w:tc>
        <w:tc>
          <w:tcPr>
            <w:tcW w:w="432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Bark-fired Boiler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10200902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Wood/Bark Waste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Wood/Bark-fired Boiler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10200903</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Wood/Bark Waste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Wood-fired Boiler - Wet Wood (&gt;=20% moisture)</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10200904</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Wood/Bark Waste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Bark-fired Boiler (&lt; 50,000 Lb Steam) **</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10200905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Wood/Bark Waste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Wood/Bark-fired Boiler (&lt; 50,000 Lb Steam) **</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10200906</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Wood/Bark Waste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Wood-fired Boiler (&lt; 50,000 Lb Steam) **</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10200907</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Wood/Bark Waste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 Cogeneration</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10200908</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Wood/Bark Waste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Wood-fired Boiler - Dry Wood (&lt;20% moisture)</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10200910</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Wood/Bark Waste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Fuel cell/Dutch oven boilers **</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10200911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Wood/Bark Waste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Stoker boilers **</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10200912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Wood/Bark Waste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Fluidized bed combustion boiler</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39000989</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General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lastRenderedPageBreak/>
              <w:t>39000999</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 Processes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In-process Fuel Use</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Wood</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General: Wood</w:t>
            </w:r>
          </w:p>
        </w:tc>
      </w:tr>
      <w:tr w:rsidR="00190574" w:rsidRPr="00190574" w:rsidTr="001C7751">
        <w:trPr>
          <w:cantSplit/>
          <w:trHeight w:val="300"/>
        </w:trPr>
        <w:tc>
          <w:tcPr>
            <w:tcW w:w="12705" w:type="dxa"/>
            <w:gridSpan w:val="5"/>
            <w:tcBorders>
              <w:top w:val="nil"/>
              <w:left w:val="single" w:sz="4" w:space="0" w:color="C0C0C0"/>
              <w:bottom w:val="single" w:sz="4" w:space="0" w:color="C0C0C0"/>
              <w:right w:val="single" w:sz="4" w:space="0" w:color="C0C0C0"/>
            </w:tcBorders>
            <w:shd w:val="clear" w:color="auto" w:fill="D6E3BC" w:themeFill="accent3" w:themeFillTint="66"/>
            <w:vAlign w:val="bottom"/>
          </w:tcPr>
          <w:p w:rsidR="001C7751" w:rsidRPr="00190574" w:rsidRDefault="001C7751" w:rsidP="001C7751">
            <w:pPr>
              <w:jc w:val="center"/>
              <w:rPr>
                <w:rFonts w:ascii="Times New Roman" w:hAnsi="Times New Roman"/>
                <w:b/>
                <w:bCs/>
                <w:sz w:val="24"/>
              </w:rPr>
            </w:pPr>
            <w:r w:rsidRPr="00190574">
              <w:rPr>
                <w:rFonts w:ascii="Times New Roman" w:hAnsi="Times New Roman"/>
                <w:b/>
                <w:bCs/>
                <w:sz w:val="24"/>
              </w:rPr>
              <w:t>2102011000 - Stationary Source Fuel Combustion; Industrial; Kerosene; Total: All Boiler Types</w:t>
            </w:r>
          </w:p>
        </w:tc>
      </w:tr>
      <w:tr w:rsidR="00190574" w:rsidRPr="00190574" w:rsidTr="001C7751">
        <w:trPr>
          <w:cantSplit/>
          <w:trHeight w:val="300"/>
        </w:trPr>
        <w:tc>
          <w:tcPr>
            <w:tcW w:w="94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20200901</w:t>
            </w:r>
          </w:p>
        </w:tc>
        <w:tc>
          <w:tcPr>
            <w:tcW w:w="292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Kerosene/Naphtha (Jet Fuel)</w:t>
            </w:r>
          </w:p>
        </w:tc>
        <w:tc>
          <w:tcPr>
            <w:tcW w:w="4320" w:type="dxa"/>
            <w:tcBorders>
              <w:top w:val="single" w:sz="4" w:space="0" w:color="C0C0C0"/>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Turbine</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20200902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Kerosene/Naphtha (Jet Fuel)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20200905</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Kerosene/Naphtha (Jet Fuel)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Crankcase Blowby</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20200906</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Kerosene/Naphtha (Jet Fuel)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Evaporative Losses (Fuel Storage and Delivery System)</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20200907</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Kerosene/Naphtha (Jet Fuel)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Exhaust</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20200908</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Kerosene/Naphtha (Jet Fuel)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Turbine: Evaporative Losses (Fuel Storage and Delivery System)</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20200909</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Industrial</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Kerosene/Naphtha (Jet Fuel)</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Turbine: Exhaust</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20400110</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Engine Testing</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Aircraft Engine Testing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Jet A Fuel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20400111</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Engine Testing</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Aircraft Engine Testing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JP-5 Fuel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20400112</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Engine Testing</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Aircraft Engine Testing</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JP-4 Fuel</w:t>
            </w:r>
          </w:p>
        </w:tc>
      </w:tr>
      <w:tr w:rsidR="00190574" w:rsidRPr="00190574" w:rsidTr="001C7751">
        <w:trPr>
          <w:cantSplit/>
          <w:trHeight w:val="300"/>
        </w:trPr>
        <w:tc>
          <w:tcPr>
            <w:tcW w:w="940" w:type="dxa"/>
            <w:tcBorders>
              <w:top w:val="nil"/>
              <w:left w:val="single" w:sz="4" w:space="0" w:color="C0C0C0"/>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20400406</w:t>
            </w:r>
          </w:p>
        </w:tc>
        <w:tc>
          <w:tcPr>
            <w:tcW w:w="29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1915"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Engine Testing</w:t>
            </w:r>
          </w:p>
        </w:tc>
        <w:tc>
          <w:tcPr>
            <w:tcW w:w="261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Reciprocating Engine</w:t>
            </w:r>
          </w:p>
        </w:tc>
        <w:tc>
          <w:tcPr>
            <w:tcW w:w="4320" w:type="dxa"/>
            <w:tcBorders>
              <w:top w:val="nil"/>
              <w:left w:val="nil"/>
              <w:bottom w:val="single" w:sz="4" w:space="0" w:color="C0C0C0"/>
              <w:right w:val="single" w:sz="4" w:space="0" w:color="C0C0C0"/>
            </w:tcBorders>
            <w:shd w:val="clear" w:color="auto" w:fill="auto"/>
            <w:vAlign w:val="bottom"/>
            <w:hideMark/>
          </w:tcPr>
          <w:p w:rsidR="00A5046D" w:rsidRPr="00190574" w:rsidRDefault="00A5046D" w:rsidP="00A5046D">
            <w:pPr>
              <w:ind w:firstLine="0"/>
              <w:jc w:val="center"/>
              <w:rPr>
                <w:rFonts w:ascii="Times New Roman" w:hAnsi="Times New Roman"/>
                <w:b/>
                <w:bCs/>
                <w:sz w:val="24"/>
              </w:rPr>
            </w:pPr>
            <w:r w:rsidRPr="00190574">
              <w:rPr>
                <w:rFonts w:ascii="Times New Roman" w:hAnsi="Times New Roman"/>
                <w:b/>
                <w:bCs/>
                <w:sz w:val="24"/>
              </w:rPr>
              <w:t>Kerosene/Naphtha (Jet Fuel)</w:t>
            </w:r>
          </w:p>
        </w:tc>
      </w:tr>
    </w:tbl>
    <w:p w:rsidR="00DF26CD" w:rsidRPr="00190574" w:rsidRDefault="00DF26CD" w:rsidP="00DF26CD">
      <w:pPr>
        <w:rPr>
          <w:rFonts w:ascii="Times New Roman" w:hAnsi="Times New Roman"/>
          <w:sz w:val="24"/>
        </w:rPr>
      </w:pPr>
    </w:p>
    <w:p w:rsidR="001C7751" w:rsidRPr="00190574" w:rsidRDefault="00DF26CD">
      <w:pPr>
        <w:ind w:firstLine="0"/>
        <w:rPr>
          <w:rFonts w:ascii="Times New Roman" w:hAnsi="Times New Roman"/>
          <w:sz w:val="24"/>
        </w:rPr>
      </w:pPr>
      <w:r w:rsidRPr="00190574">
        <w:rPr>
          <w:rFonts w:ascii="Times New Roman" w:hAnsi="Times New Roman"/>
          <w:sz w:val="24"/>
        </w:rPr>
        <w:br w:type="page"/>
      </w:r>
      <w:bookmarkStart w:id="38" w:name="_Toc239168405"/>
    </w:p>
    <w:p w:rsidR="001C7751" w:rsidRPr="00190574" w:rsidRDefault="001C7751" w:rsidP="001C7751">
      <w:pPr>
        <w:ind w:firstLine="0"/>
        <w:jc w:val="center"/>
        <w:rPr>
          <w:rFonts w:ascii="Times New Roman" w:hAnsi="Times New Roman"/>
          <w:b/>
          <w:sz w:val="24"/>
        </w:rPr>
      </w:pPr>
      <w:r w:rsidRPr="00190574">
        <w:rPr>
          <w:rFonts w:ascii="Times New Roman" w:hAnsi="Times New Roman"/>
          <w:b/>
          <w:sz w:val="24"/>
        </w:rPr>
        <w:lastRenderedPageBreak/>
        <w:t>Table A-2. Commercial/Institutional Fuel Combustion Crosswalk for Point Source Subtraction</w:t>
      </w:r>
    </w:p>
    <w:tbl>
      <w:tblPr>
        <w:tblpPr w:leftFromText="180" w:rightFromText="180" w:horzAnchor="margin" w:tblpY="330"/>
        <w:tblW w:w="12535" w:type="dxa"/>
        <w:tblLook w:val="04A0" w:firstRow="1" w:lastRow="0" w:firstColumn="1" w:lastColumn="0" w:noHBand="0" w:noVBand="1"/>
      </w:tblPr>
      <w:tblGrid>
        <w:gridCol w:w="1929"/>
        <w:gridCol w:w="2118"/>
        <w:gridCol w:w="2816"/>
        <w:gridCol w:w="2846"/>
        <w:gridCol w:w="2826"/>
      </w:tblGrid>
      <w:tr w:rsidR="00190574" w:rsidRPr="00190574" w:rsidTr="001C7751">
        <w:trPr>
          <w:trHeight w:val="315"/>
        </w:trPr>
        <w:tc>
          <w:tcPr>
            <w:tcW w:w="2093" w:type="dxa"/>
            <w:tcBorders>
              <w:top w:val="single" w:sz="8" w:space="0" w:color="auto"/>
              <w:left w:val="nil"/>
              <w:bottom w:val="single" w:sz="8" w:space="0" w:color="auto"/>
              <w:right w:val="nil"/>
            </w:tcBorders>
            <w:shd w:val="clear" w:color="000000" w:fill="B8CCE4"/>
            <w:vAlign w:val="center"/>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Point SCC</w:t>
            </w:r>
          </w:p>
        </w:tc>
        <w:tc>
          <w:tcPr>
            <w:tcW w:w="2259" w:type="dxa"/>
            <w:tcBorders>
              <w:top w:val="single" w:sz="8" w:space="0" w:color="auto"/>
              <w:left w:val="nil"/>
              <w:bottom w:val="single" w:sz="8" w:space="0" w:color="auto"/>
              <w:right w:val="nil"/>
            </w:tcBorders>
            <w:shd w:val="clear" w:color="000000" w:fill="B8CCE4"/>
            <w:vAlign w:val="center"/>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SCC1 DESC</w:t>
            </w:r>
          </w:p>
        </w:tc>
        <w:tc>
          <w:tcPr>
            <w:tcW w:w="2300" w:type="dxa"/>
            <w:tcBorders>
              <w:top w:val="single" w:sz="8" w:space="0" w:color="auto"/>
              <w:left w:val="nil"/>
              <w:bottom w:val="single" w:sz="8" w:space="0" w:color="auto"/>
              <w:right w:val="nil"/>
            </w:tcBorders>
            <w:shd w:val="clear" w:color="000000" w:fill="B8CCE4"/>
            <w:vAlign w:val="center"/>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SCC3 DESC</w:t>
            </w:r>
          </w:p>
        </w:tc>
        <w:tc>
          <w:tcPr>
            <w:tcW w:w="2852" w:type="dxa"/>
            <w:tcBorders>
              <w:top w:val="single" w:sz="8" w:space="0" w:color="auto"/>
              <w:left w:val="nil"/>
              <w:bottom w:val="single" w:sz="8" w:space="0" w:color="auto"/>
              <w:right w:val="nil"/>
            </w:tcBorders>
            <w:shd w:val="clear" w:color="000000" w:fill="B8CCE4"/>
            <w:vAlign w:val="center"/>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SCC6 DESC</w:t>
            </w:r>
          </w:p>
        </w:tc>
        <w:tc>
          <w:tcPr>
            <w:tcW w:w="3031" w:type="dxa"/>
            <w:tcBorders>
              <w:top w:val="single" w:sz="8" w:space="0" w:color="auto"/>
              <w:left w:val="nil"/>
              <w:bottom w:val="single" w:sz="8" w:space="0" w:color="auto"/>
              <w:right w:val="nil"/>
            </w:tcBorders>
            <w:shd w:val="clear" w:color="000000" w:fill="B8CCE4"/>
            <w:vAlign w:val="center"/>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SCC8 DESC</w:t>
            </w:r>
          </w:p>
        </w:tc>
      </w:tr>
      <w:tr w:rsidR="00190574" w:rsidRPr="00190574" w:rsidTr="001C7751">
        <w:trPr>
          <w:trHeight w:val="340"/>
        </w:trPr>
        <w:tc>
          <w:tcPr>
            <w:tcW w:w="12535" w:type="dxa"/>
            <w:gridSpan w:val="5"/>
            <w:tcBorders>
              <w:top w:val="nil"/>
              <w:left w:val="nil"/>
              <w:bottom w:val="single" w:sz="4" w:space="0" w:color="C0C0C0"/>
              <w:right w:val="single" w:sz="4" w:space="0" w:color="C0C0C0"/>
            </w:tcBorders>
            <w:shd w:val="clear" w:color="000000" w:fill="D6E3BC"/>
            <w:vAlign w:val="center"/>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2103001000 - Stationary Source Fuel Combustion; Commercial/Institutional; Anthracite Coal; Total: All Boiler Types</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10300101</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Anthracite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Pulverized Coal</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10300102</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Anthracite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Traveling Grate (Overfeed) Stoker</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10300103</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Anthracite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Hand-fired</w:t>
            </w:r>
          </w:p>
        </w:tc>
      </w:tr>
      <w:tr w:rsidR="00190574" w:rsidRPr="00190574" w:rsidTr="001C7751">
        <w:trPr>
          <w:trHeight w:val="300"/>
        </w:trPr>
        <w:tc>
          <w:tcPr>
            <w:tcW w:w="12535" w:type="dxa"/>
            <w:gridSpan w:val="5"/>
            <w:tcBorders>
              <w:top w:val="nil"/>
              <w:left w:val="nil"/>
              <w:bottom w:val="single" w:sz="4" w:space="0" w:color="C0C0C0"/>
              <w:right w:val="single" w:sz="4" w:space="0" w:color="C0C0C0"/>
            </w:tcBorders>
            <w:shd w:val="clear" w:color="000000" w:fill="D6E3BC"/>
            <w:vAlign w:val="center"/>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2103002000 - Stationary Source Fuel Combustion; Commercial/Institutional; Bituminous/Subbituminous Coal; Total: All Boiler Types</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10300203</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Bituminous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Cyclone Furnace</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10300205</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Bituminous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Pulverized Coal: Wet Bottom</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10300206</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Bituminous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Pulverized Coal: Dry Bottom</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10300207</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Bituminous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Overfeed Stoker</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10300208</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Bituminous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Underfeed Stoker</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10300209</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Bituminous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Spreader Stoker</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lastRenderedPageBreak/>
              <w:t>10300214</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Bituminous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Hand-fired</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10300216</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Bituminous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Pulverized Coal: Dry Bottom (Tangential)</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10300217</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Bituminous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Atmospheric Fluidized Bed Combustion: Bubbling Bed</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10300218</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Bituminous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Atmospheric Fluidized Bed Combustion: Circulating Bed</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10300221</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Subbituminous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Pulverized Coal: Wet Bottom</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10300222</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Subbituminous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Pulverized Coal: Dry Bottom</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10300223</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Subbituminous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Cyclone Furnace</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10300224</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Subbituminous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Spreader Stoker</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10300225</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Subbituminous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Traveling Grate (Overfeed) Stoker</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10300226</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Subbituminous Coal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Pulverized Coal: Dry Bottom Tangential</w:t>
            </w:r>
          </w:p>
        </w:tc>
      </w:tr>
      <w:tr w:rsidR="00190574" w:rsidRPr="00190574" w:rsidTr="001C7751">
        <w:trPr>
          <w:trHeight w:val="45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50190002</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Waste Disposal</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Solid Waste Disposal - Government</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Auxillary Fuel/No Emissions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Coal</w:t>
            </w:r>
          </w:p>
        </w:tc>
      </w:tr>
      <w:tr w:rsidR="00190574" w:rsidRPr="00190574" w:rsidTr="001C7751">
        <w:trPr>
          <w:trHeight w:val="45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lastRenderedPageBreak/>
              <w:t>50290002</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Waste Disposal</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Solid Waste Disposal - 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Auxillary Fuel/No Emissions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Coal</w:t>
            </w:r>
          </w:p>
        </w:tc>
      </w:tr>
      <w:tr w:rsidR="00190574" w:rsidRPr="00190574" w:rsidTr="001C7751">
        <w:trPr>
          <w:trHeight w:val="413"/>
        </w:trPr>
        <w:tc>
          <w:tcPr>
            <w:tcW w:w="12535" w:type="dxa"/>
            <w:gridSpan w:val="5"/>
            <w:tcBorders>
              <w:top w:val="nil"/>
              <w:left w:val="nil"/>
              <w:bottom w:val="single" w:sz="4" w:space="0" w:color="C0C0C0"/>
              <w:right w:val="single" w:sz="4" w:space="0" w:color="C0C0C0"/>
            </w:tcBorders>
            <w:shd w:val="clear" w:color="000000" w:fill="D6E3BC"/>
            <w:vAlign w:val="center"/>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2103004001 - Stationary Source Fuel Combustion; Commercial/Institutional; Distillate Oil; Boilers</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10300501</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Distillate Oil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Grades 1 and 2 Oil</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10300502</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Distillate Oil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10-100 Million BTU/hr **</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10300503</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Distillate Oil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&lt; 10 Million BTU/hr **</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10300504</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Distillate Oil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Grade 4 Oil</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10500205</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Space Heaters</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Distillate Oil</w:t>
            </w:r>
          </w:p>
        </w:tc>
      </w:tr>
      <w:tr w:rsidR="00190574" w:rsidRPr="00190574" w:rsidTr="001C7751">
        <w:trPr>
          <w:trHeight w:val="45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50100602</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Waste Disposal</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Solid Waste Disposal - Government</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Fire Fighting</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Structure: Distillate Oil</w:t>
            </w:r>
          </w:p>
        </w:tc>
      </w:tr>
      <w:tr w:rsidR="00190574" w:rsidRPr="00190574" w:rsidTr="001C7751">
        <w:trPr>
          <w:trHeight w:val="45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50190005</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Waste Disposal</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Solid Waste Disposal - Government</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Auxiliary Fuel/No Emissions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Distillate Oil</w:t>
            </w:r>
          </w:p>
        </w:tc>
      </w:tr>
      <w:tr w:rsidR="00190574" w:rsidRPr="00190574" w:rsidTr="001C7751">
        <w:trPr>
          <w:trHeight w:val="45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50290005</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Waste Disposal</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Solid Waste Disposal - 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Auxiliary Fuel/No Emissions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Distillate Oil</w:t>
            </w:r>
          </w:p>
        </w:tc>
      </w:tr>
      <w:tr w:rsidR="00190574" w:rsidRPr="00190574" w:rsidTr="001C7751">
        <w:trPr>
          <w:trHeight w:val="300"/>
        </w:trPr>
        <w:tc>
          <w:tcPr>
            <w:tcW w:w="12535" w:type="dxa"/>
            <w:gridSpan w:val="5"/>
            <w:tcBorders>
              <w:top w:val="nil"/>
              <w:left w:val="nil"/>
              <w:bottom w:val="single" w:sz="4" w:space="0" w:color="C0C0C0"/>
              <w:right w:val="single" w:sz="4" w:space="0" w:color="C0C0C0"/>
            </w:tcBorders>
            <w:shd w:val="clear" w:color="000000" w:fill="D6E3BC"/>
            <w:vAlign w:val="center"/>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2103004002 - Stationary Source Fuel Combustion; Commercial/Institutional; Distillate Oil; IC Engines</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20300101</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Distillate Oil (Diesel)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Reciprocating</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20300102</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Distillate Oil (Diesel)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Turbine</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lastRenderedPageBreak/>
              <w:t>20300105</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Distillate Oil (Diesel)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Reciprocating: Crankcase Blowby</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20300106</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Distillate Oil (Diesel)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Reciprocating: Evaporative Losses (Fuel Storage and Delivery System)</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20300107</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Distillate Oil (Diesel)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Reciprocating: Exhaust</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20300108</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Distillate Oil (Diesel)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Turbine: Evaporative Losses (Fuel Storage and Delivery System)</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20300109</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Distillate Oil (Diesel)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Turbine: Exhaust</w:t>
            </w:r>
          </w:p>
        </w:tc>
      </w:tr>
      <w:tr w:rsidR="00190574" w:rsidRPr="00190574" w:rsidTr="001C7751">
        <w:trPr>
          <w:trHeight w:val="300"/>
        </w:trPr>
        <w:tc>
          <w:tcPr>
            <w:tcW w:w="12535" w:type="dxa"/>
            <w:gridSpan w:val="5"/>
            <w:tcBorders>
              <w:top w:val="nil"/>
              <w:left w:val="nil"/>
              <w:bottom w:val="single" w:sz="4" w:space="0" w:color="C0C0C0"/>
              <w:right w:val="single" w:sz="4" w:space="0" w:color="C0C0C0"/>
            </w:tcBorders>
            <w:shd w:val="clear" w:color="000000" w:fill="D6E3BC"/>
            <w:vAlign w:val="center"/>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2103005000 - Stationary Source Fuel Combustion; Commercial/Institutional; Residual Oil; Total: All Boiler Types</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10300401</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Residual Oil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Grade 6 Oil</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10300402</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Residual Oil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10-100 Million BTU/hr **</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10300403</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Residual Oil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&lt; 10 Million BTU/hr **</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10300404</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Residual Oil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Grade 5 Oil</w:t>
            </w:r>
          </w:p>
        </w:tc>
      </w:tr>
      <w:tr w:rsidR="00190574" w:rsidRPr="00190574" w:rsidTr="001C7751">
        <w:trPr>
          <w:trHeight w:val="300"/>
        </w:trPr>
        <w:tc>
          <w:tcPr>
            <w:tcW w:w="12535" w:type="dxa"/>
            <w:gridSpan w:val="5"/>
            <w:tcBorders>
              <w:top w:val="nil"/>
              <w:left w:val="nil"/>
              <w:bottom w:val="single" w:sz="4" w:space="0" w:color="C0C0C0"/>
              <w:right w:val="single" w:sz="4" w:space="0" w:color="C0C0C0"/>
            </w:tcBorders>
            <w:shd w:val="clear" w:color="000000" w:fill="D6E3BC"/>
            <w:vAlign w:val="center"/>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2103006000 - Stationary Source Fuel Combustion; Commercial/Institutional; Natural Gas; Total: Boilers and IC Engines</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lastRenderedPageBreak/>
              <w:t>10300601</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Natural Gas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&gt; 100 Million BTU/hr</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10300602</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Natural Gas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10-100 Million BTU/hr</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10300603</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Natural Gas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&lt; 10 Million BTU/hr</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10500206</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Space Heaters</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Natural Gas</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20300201</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Natural Gas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Reciprocating</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20300202</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Natural Gas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Turbine</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20300203</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Natural Gas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Turbine: Cogeneration</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20300204</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Natural Gas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Reciprocating: Cogeneration</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20300205</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Natural Gas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Reciprocating: Crankcase Blowby</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20300206</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Natural Gas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Reciprocating: Evaporative Losses (Fuel Delivery System)</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20300207</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Natural Gas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Reciprocating: Exhaust</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lastRenderedPageBreak/>
              <w:t>20300208</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Natural Gas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Turbine: Evaporative Losses (Fuel Delivery System)</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20300209</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Natural Gas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Turbine: Exhaust</w:t>
            </w:r>
          </w:p>
        </w:tc>
      </w:tr>
      <w:tr w:rsidR="00190574" w:rsidRPr="00190574" w:rsidTr="001C7751">
        <w:trPr>
          <w:trHeight w:val="45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50190006</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Waste Disposal</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Solid Waste Disposal - Government</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Auxillary Fuel/No Emissions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Natural Gas</w:t>
            </w:r>
          </w:p>
        </w:tc>
      </w:tr>
      <w:tr w:rsidR="00190574" w:rsidRPr="00190574" w:rsidTr="001C7751">
        <w:trPr>
          <w:trHeight w:val="45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50290006</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Waste Disposal</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Solid Waste Disposal - 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Auxillary Fuel/No Emissions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Natural Gas</w:t>
            </w:r>
          </w:p>
        </w:tc>
      </w:tr>
      <w:tr w:rsidR="00190574" w:rsidRPr="00190574" w:rsidTr="001C7751">
        <w:trPr>
          <w:trHeight w:val="300"/>
        </w:trPr>
        <w:tc>
          <w:tcPr>
            <w:tcW w:w="12535" w:type="dxa"/>
            <w:gridSpan w:val="5"/>
            <w:tcBorders>
              <w:top w:val="nil"/>
              <w:left w:val="nil"/>
              <w:bottom w:val="single" w:sz="4" w:space="0" w:color="C0C0C0"/>
              <w:right w:val="single" w:sz="4" w:space="0" w:color="C0C0C0"/>
            </w:tcBorders>
            <w:shd w:val="clear" w:color="000000" w:fill="D6E3BC"/>
            <w:vAlign w:val="center"/>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2103007000 - Stationary Source Fuel Combustion; Commercial/Institutional; Liquified Petroleum Gas (LPG); Total: All Combustor Types</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10301001</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Butane</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10301002</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Propane</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10301003</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Butane/Propane Mixture: Specify Percent Butane in Comments</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10500210</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Space Heaters</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Liquified Petroleum Gas (LPG)</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20301001</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Propane: Reciprocating</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20301002</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Butane: Reciprocating</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20301005</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Reciprocating: Crankcase Blowby</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lastRenderedPageBreak/>
              <w:t>20301006</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Reciprocating: Evaporative Losses (Fuel Storage and Delivery System)</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20301007</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Liquified Petroleum Gas (LPG)</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Reciprocating: Exhaust</w:t>
            </w:r>
          </w:p>
        </w:tc>
      </w:tr>
      <w:tr w:rsidR="00190574" w:rsidRPr="00190574" w:rsidTr="001C7751">
        <w:trPr>
          <w:trHeight w:val="45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50190010</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Waste Disposal</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Solid Waste Disposal - Government</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Auxillary Fuel/No Emissions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Liquified Petroleum Gas (LPG)</w:t>
            </w:r>
          </w:p>
        </w:tc>
      </w:tr>
      <w:tr w:rsidR="00190574" w:rsidRPr="00190574" w:rsidTr="001C7751">
        <w:trPr>
          <w:trHeight w:val="45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50290010</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Waste Disposal</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Solid Waste Disposal - 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Auxillary Fuel/No Emissions</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Liquified Petroleum Gas (LPG)</w:t>
            </w:r>
          </w:p>
        </w:tc>
      </w:tr>
      <w:tr w:rsidR="00190574" w:rsidRPr="00190574" w:rsidTr="001C7751">
        <w:trPr>
          <w:trHeight w:val="300"/>
        </w:trPr>
        <w:tc>
          <w:tcPr>
            <w:tcW w:w="12535" w:type="dxa"/>
            <w:gridSpan w:val="5"/>
            <w:tcBorders>
              <w:top w:val="nil"/>
              <w:left w:val="nil"/>
              <w:bottom w:val="single" w:sz="4" w:space="0" w:color="C0C0C0"/>
              <w:right w:val="single" w:sz="4" w:space="0" w:color="C0C0C0"/>
            </w:tcBorders>
            <w:shd w:val="clear" w:color="000000" w:fill="D6E3BC"/>
            <w:vAlign w:val="center"/>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2103008000 - Stationary Source Fuel Combustion; Commercial/Institutional; Wood; Total: All Boiler Types</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10300901</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Wood/Bark Waste</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Bark-fired Boiler</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10300902</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Wood/Bark Waste</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Wood/Bark-fired Boiler</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10300903</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Wood/Bark Waste</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Wood-fired Boiler - Wet Wood (&gt;=20% moisture)</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10300908</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Wood/Bark Waste</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Wood-fired Boiler - Dry Wood (&lt;20% moisture)</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10300910</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Wood/Bark Waste</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Fuel cell/Dutch oven boilers **</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10300911</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Wood/Bark Waste</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Stoker boilers **</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10300912</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 Boilers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Wood/Bark Waste</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Fluidized bed combustion boilers</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lastRenderedPageBreak/>
              <w:t>10500209</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External Combustion</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Space Heaters</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Wood</w:t>
            </w:r>
          </w:p>
        </w:tc>
      </w:tr>
      <w:tr w:rsidR="00190574" w:rsidRPr="00190574" w:rsidTr="001C7751">
        <w:trPr>
          <w:trHeight w:val="300"/>
        </w:trPr>
        <w:tc>
          <w:tcPr>
            <w:tcW w:w="12535" w:type="dxa"/>
            <w:gridSpan w:val="5"/>
            <w:tcBorders>
              <w:top w:val="nil"/>
              <w:left w:val="nil"/>
              <w:bottom w:val="single" w:sz="4" w:space="0" w:color="C0C0C0"/>
              <w:right w:val="single" w:sz="4" w:space="0" w:color="C0C0C0"/>
            </w:tcBorders>
            <w:shd w:val="clear" w:color="000000" w:fill="D6E3BC"/>
            <w:vAlign w:val="center"/>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2103011000 - Stationary Source Fuel Combustion; Commercial/Institutional; Kerosene; Total: All Combustor Types</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20300901</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Kerosene/Naphtha (Jet Fuel)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Turbine: JP-4</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20300908</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Kerosene/Naphtha (Jet Fuel)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Turbine: Evaporative Losses (Fuel Storage and Delivery System)</w:t>
            </w:r>
          </w:p>
        </w:tc>
      </w:tr>
      <w:tr w:rsidR="00190574" w:rsidRPr="00190574" w:rsidTr="001C7751">
        <w:trPr>
          <w:trHeight w:val="30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20300909</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Internal Combustion Engines</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Commercial/Institutional</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Kerosene/Naphtha (Jet Fuel)</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Turbine: Exhaust</w:t>
            </w:r>
          </w:p>
        </w:tc>
      </w:tr>
      <w:tr w:rsidR="00190574" w:rsidRPr="00190574" w:rsidTr="001C7751">
        <w:trPr>
          <w:trHeight w:val="450"/>
        </w:trPr>
        <w:tc>
          <w:tcPr>
            <w:tcW w:w="2093" w:type="dxa"/>
            <w:tcBorders>
              <w:top w:val="nil"/>
              <w:left w:val="single" w:sz="4" w:space="0" w:color="C0C0C0"/>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50100603</w:t>
            </w:r>
          </w:p>
        </w:tc>
        <w:tc>
          <w:tcPr>
            <w:tcW w:w="2259"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Waste Disposal</w:t>
            </w:r>
          </w:p>
        </w:tc>
        <w:tc>
          <w:tcPr>
            <w:tcW w:w="2300"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Solid Waste Disposal - Government</w:t>
            </w:r>
          </w:p>
        </w:tc>
        <w:tc>
          <w:tcPr>
            <w:tcW w:w="2852"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Fire Fighting</w:t>
            </w:r>
          </w:p>
        </w:tc>
        <w:tc>
          <w:tcPr>
            <w:tcW w:w="3031" w:type="dxa"/>
            <w:tcBorders>
              <w:top w:val="nil"/>
              <w:left w:val="nil"/>
              <w:bottom w:val="single" w:sz="4" w:space="0" w:color="C0C0C0"/>
              <w:right w:val="single" w:sz="4" w:space="0" w:color="C0C0C0"/>
            </w:tcBorders>
            <w:shd w:val="clear" w:color="auto" w:fill="auto"/>
            <w:vAlign w:val="bottom"/>
            <w:hideMark/>
          </w:tcPr>
          <w:p w:rsidR="001C7751" w:rsidRPr="00190574" w:rsidRDefault="001C7751" w:rsidP="001C7751">
            <w:pPr>
              <w:ind w:firstLine="0"/>
              <w:jc w:val="center"/>
              <w:rPr>
                <w:rFonts w:ascii="Times New Roman" w:hAnsi="Times New Roman"/>
                <w:b/>
                <w:bCs/>
                <w:sz w:val="24"/>
              </w:rPr>
            </w:pPr>
            <w:r w:rsidRPr="00190574">
              <w:rPr>
                <w:rFonts w:ascii="Times New Roman" w:hAnsi="Times New Roman"/>
                <w:b/>
                <w:bCs/>
                <w:sz w:val="24"/>
              </w:rPr>
              <w:t>Structure: Kerosene</w:t>
            </w:r>
          </w:p>
        </w:tc>
      </w:tr>
    </w:tbl>
    <w:p w:rsidR="001C7751" w:rsidRPr="00190574" w:rsidRDefault="001C7751">
      <w:pPr>
        <w:ind w:firstLine="0"/>
        <w:rPr>
          <w:rFonts w:ascii="Times New Roman" w:hAnsi="Times New Roman"/>
          <w:b/>
          <w:sz w:val="24"/>
        </w:rPr>
      </w:pPr>
      <w:r w:rsidRPr="00190574">
        <w:rPr>
          <w:rFonts w:ascii="Times New Roman" w:hAnsi="Times New Roman"/>
          <w:b/>
          <w:sz w:val="24"/>
        </w:rPr>
        <w:br w:type="page"/>
      </w:r>
    </w:p>
    <w:p w:rsidR="00DF26CD" w:rsidRPr="00190574" w:rsidRDefault="00DF26CD" w:rsidP="001C7751">
      <w:pPr>
        <w:ind w:firstLine="0"/>
        <w:rPr>
          <w:rFonts w:ascii="Times New Roman" w:hAnsi="Times New Roman"/>
          <w:b/>
          <w:sz w:val="24"/>
        </w:rPr>
      </w:pPr>
    </w:p>
    <w:p w:rsidR="00DF26CD" w:rsidRPr="00190574" w:rsidRDefault="004C59D3" w:rsidP="004C59D3">
      <w:pPr>
        <w:pStyle w:val="Caption"/>
        <w:jc w:val="center"/>
        <w:rPr>
          <w:sz w:val="24"/>
          <w:szCs w:val="24"/>
        </w:rPr>
      </w:pPr>
      <w:bookmarkStart w:id="39" w:name="_Toc321984952"/>
      <w:bookmarkStart w:id="40" w:name="_Toc484000186"/>
      <w:r w:rsidRPr="00190574">
        <w:rPr>
          <w:rFonts w:ascii="Times New Roman" w:hAnsi="Times New Roman"/>
          <w:sz w:val="24"/>
          <w:szCs w:val="24"/>
        </w:rPr>
        <w:t xml:space="preserve">Table </w:t>
      </w:r>
      <w:r w:rsidR="006100DB" w:rsidRPr="00190574">
        <w:rPr>
          <w:rFonts w:ascii="Times New Roman" w:hAnsi="Times New Roman"/>
          <w:sz w:val="24"/>
          <w:szCs w:val="24"/>
        </w:rPr>
        <w:t>A-</w:t>
      </w:r>
      <w:r w:rsidR="006100DB" w:rsidRPr="00190574">
        <w:rPr>
          <w:rFonts w:ascii="Times New Roman" w:hAnsi="Times New Roman"/>
          <w:sz w:val="24"/>
          <w:szCs w:val="24"/>
        </w:rPr>
        <w:fldChar w:fldCharType="begin"/>
      </w:r>
      <w:r w:rsidR="006100DB" w:rsidRPr="00190574">
        <w:rPr>
          <w:rFonts w:ascii="Times New Roman" w:hAnsi="Times New Roman"/>
          <w:sz w:val="24"/>
          <w:szCs w:val="24"/>
        </w:rPr>
        <w:instrText xml:space="preserve"> SEQ Table\r 2 \* ARABIC </w:instrText>
      </w:r>
      <w:r w:rsidR="006100DB" w:rsidRPr="00190574">
        <w:rPr>
          <w:rFonts w:ascii="Times New Roman" w:hAnsi="Times New Roman"/>
          <w:sz w:val="24"/>
          <w:szCs w:val="24"/>
        </w:rPr>
        <w:fldChar w:fldCharType="separate"/>
      </w:r>
      <w:r w:rsidR="0021591B" w:rsidRPr="00190574">
        <w:rPr>
          <w:rFonts w:ascii="Times New Roman" w:hAnsi="Times New Roman"/>
          <w:noProof/>
          <w:sz w:val="24"/>
          <w:szCs w:val="24"/>
        </w:rPr>
        <w:t>2</w:t>
      </w:r>
      <w:r w:rsidR="006100DB" w:rsidRPr="00190574">
        <w:rPr>
          <w:rFonts w:ascii="Times New Roman" w:hAnsi="Times New Roman"/>
          <w:sz w:val="24"/>
          <w:szCs w:val="24"/>
        </w:rPr>
        <w:fldChar w:fldCharType="end"/>
      </w:r>
      <w:r w:rsidRPr="00190574">
        <w:rPr>
          <w:rFonts w:ascii="Times New Roman" w:hAnsi="Times New Roman"/>
          <w:sz w:val="24"/>
          <w:szCs w:val="24"/>
        </w:rPr>
        <w:t>.</w:t>
      </w:r>
      <w:r w:rsidR="00DF26CD" w:rsidRPr="00190574">
        <w:rPr>
          <w:sz w:val="24"/>
          <w:szCs w:val="24"/>
        </w:rPr>
        <w:t xml:space="preserve"> </w:t>
      </w:r>
      <w:r w:rsidR="00DF26CD" w:rsidRPr="00190574">
        <w:rPr>
          <w:rFonts w:ascii="Times New Roman" w:hAnsi="Times New Roman"/>
          <w:sz w:val="24"/>
          <w:szCs w:val="24"/>
        </w:rPr>
        <w:t>Commercial/Institutional Fuel Combustion Crosswalk for Point Source Subtractions</w:t>
      </w:r>
      <w:bookmarkEnd w:id="38"/>
      <w:bookmarkEnd w:id="39"/>
      <w:bookmarkEnd w:id="40"/>
    </w:p>
    <w:tbl>
      <w:tblPr>
        <w:tblW w:w="13068" w:type="dxa"/>
        <w:tblLayout w:type="fixed"/>
        <w:tblLook w:val="01E0" w:firstRow="1" w:lastRow="1" w:firstColumn="1" w:lastColumn="1" w:noHBand="0" w:noVBand="0"/>
        <w:tblCaption w:val="Table A-2. Commercial/Institutional Fuel Combustion Crosswalk for Point Source Subtractions"/>
        <w:tblDescription w:val="Point SCC SCC1 DESC SCC3 DESC SCC6 DESC SCC8 DESC"/>
      </w:tblPr>
      <w:tblGrid>
        <w:gridCol w:w="1008"/>
        <w:gridCol w:w="2340"/>
        <w:gridCol w:w="2430"/>
        <w:gridCol w:w="2520"/>
        <w:gridCol w:w="4770"/>
      </w:tblGrid>
      <w:tr w:rsidR="00190574" w:rsidRPr="00190574" w:rsidTr="007C62D2">
        <w:trPr>
          <w:cantSplit/>
          <w:trHeight w:val="342"/>
        </w:trPr>
        <w:tc>
          <w:tcPr>
            <w:tcW w:w="1008"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Point SCC</w:t>
            </w:r>
          </w:p>
        </w:tc>
        <w:tc>
          <w:tcPr>
            <w:tcW w:w="2340"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SCC1 DESC</w:t>
            </w:r>
          </w:p>
        </w:tc>
        <w:tc>
          <w:tcPr>
            <w:tcW w:w="2430"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SCC3 DESC</w:t>
            </w:r>
          </w:p>
        </w:tc>
        <w:tc>
          <w:tcPr>
            <w:tcW w:w="2520"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SCC6 DESC</w:t>
            </w:r>
          </w:p>
        </w:tc>
        <w:tc>
          <w:tcPr>
            <w:tcW w:w="4770"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SCC8 DESC</w:t>
            </w:r>
          </w:p>
        </w:tc>
      </w:tr>
      <w:tr w:rsidR="00190574" w:rsidRPr="00190574" w:rsidTr="007C62D2">
        <w:trPr>
          <w:cantSplit/>
          <w:trHeight w:val="323"/>
        </w:trPr>
        <w:tc>
          <w:tcPr>
            <w:tcW w:w="13068" w:type="dxa"/>
            <w:gridSpan w:val="5"/>
            <w:tcBorders>
              <w:top w:val="single" w:sz="4" w:space="0" w:color="auto"/>
              <w:bottom w:val="single" w:sz="4" w:space="0" w:color="auto"/>
            </w:tcBorders>
            <w:shd w:val="clear" w:color="auto" w:fill="D6E3BC" w:themeFill="accent3" w:themeFillTint="66"/>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2103001000 - Stationary Source Fuel Combustion; Commercial/Institutional; Anthracite Coal; Total: All Boiler Types</w:t>
            </w:r>
          </w:p>
        </w:tc>
      </w:tr>
      <w:tr w:rsidR="00190574" w:rsidRPr="00190574" w:rsidTr="007C62D2">
        <w:trPr>
          <w:cantSplit/>
          <w:trHeight w:val="255"/>
        </w:trPr>
        <w:tc>
          <w:tcPr>
            <w:tcW w:w="1008"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10300101</w:t>
            </w:r>
          </w:p>
        </w:tc>
        <w:tc>
          <w:tcPr>
            <w:tcW w:w="234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Anthracite Coal</w:t>
            </w:r>
          </w:p>
        </w:tc>
        <w:tc>
          <w:tcPr>
            <w:tcW w:w="477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Pulverized Coal</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10300102</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Anthracite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Traveling Grate (Overfeed) Stoker</w:t>
            </w:r>
          </w:p>
        </w:tc>
      </w:tr>
      <w:tr w:rsidR="00190574" w:rsidRPr="00190574" w:rsidTr="007C62D2">
        <w:trPr>
          <w:cantSplit/>
          <w:trHeight w:val="255"/>
        </w:trPr>
        <w:tc>
          <w:tcPr>
            <w:tcW w:w="1008"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10300103</w:t>
            </w:r>
          </w:p>
        </w:tc>
        <w:tc>
          <w:tcPr>
            <w:tcW w:w="234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Anthracite Coal</w:t>
            </w:r>
          </w:p>
        </w:tc>
        <w:tc>
          <w:tcPr>
            <w:tcW w:w="477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Hand-fired</w:t>
            </w:r>
          </w:p>
        </w:tc>
      </w:tr>
      <w:tr w:rsidR="00190574" w:rsidRPr="00190574" w:rsidTr="007C62D2">
        <w:trPr>
          <w:cantSplit/>
          <w:trHeight w:val="255"/>
        </w:trPr>
        <w:tc>
          <w:tcPr>
            <w:tcW w:w="13068" w:type="dxa"/>
            <w:gridSpan w:val="5"/>
            <w:tcBorders>
              <w:top w:val="single" w:sz="4" w:space="0" w:color="auto"/>
              <w:bottom w:val="single" w:sz="4" w:space="0" w:color="auto"/>
            </w:tcBorders>
            <w:shd w:val="clear" w:color="auto" w:fill="D6E3BC" w:themeFill="accent3" w:themeFillTint="66"/>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2103002000 - Stationary Source Fuel Combustion; Commercial/Institutional; Bituminous/Subbituminous Coal; Total: All Boiler Types</w:t>
            </w:r>
          </w:p>
        </w:tc>
      </w:tr>
      <w:tr w:rsidR="00190574" w:rsidRPr="00190574" w:rsidTr="007C62D2">
        <w:trPr>
          <w:cantSplit/>
          <w:trHeight w:val="255"/>
        </w:trPr>
        <w:tc>
          <w:tcPr>
            <w:tcW w:w="1008"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10300203</w:t>
            </w:r>
          </w:p>
        </w:tc>
        <w:tc>
          <w:tcPr>
            <w:tcW w:w="234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Bituminous Coal</w:t>
            </w:r>
          </w:p>
        </w:tc>
        <w:tc>
          <w:tcPr>
            <w:tcW w:w="477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Cyclone Furnace</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10300205</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Bituminous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Pulverized Coal: Wet Bottom</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10300206</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Bituminous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Pulverized Coal: Dry Bottom</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10300207</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Bituminous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Overfeed Stoker</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10300208</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Bituminous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Underfeed Stoker</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10300209</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Bituminous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Spreader Stoker</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10300211</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Bituminous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Overfeed Stoker **</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10300214</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Bituminous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Hand-fired</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10300216</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Bituminous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Pulverized Coal: Dry Bottom (Tangential)</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lastRenderedPageBreak/>
              <w:t>10300217</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Bituminous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Atmospheric Fluidized Bed Combustion: Bubbling Bed</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10300218</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Bituminous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Atmospheric Fluidized Bed Combustion: Circulating Bed</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10300221</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Subbituminous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Pulverized Coal: Wet Bottom</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10300222</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Subbituminous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Pulverized Coal: Dry Bottom</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10300223</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Subbituminous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Cyclone Furnace</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10300224</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Subbituminous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Spreader Stoker</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10300225</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Subbituminous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Traveling Grate (Overfeed) Stoker</w:t>
            </w:r>
          </w:p>
        </w:tc>
      </w:tr>
      <w:tr w:rsidR="00DF26CD"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10300226</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Subbituminous Coal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Pulverized Coal: Dry Bottom Tangential</w:t>
            </w:r>
          </w:p>
        </w:tc>
      </w:tr>
    </w:tbl>
    <w:p w:rsidR="002835A7" w:rsidRDefault="002835A7" w:rsidP="007C62D2">
      <w:pPr>
        <w:pStyle w:val="TableTitle"/>
        <w:sectPr w:rsidR="002835A7" w:rsidSect="006629C8">
          <w:headerReference w:type="default" r:id="rId37"/>
          <w:footerReference w:type="default" r:id="rId38"/>
          <w:pgSz w:w="15840" w:h="12240" w:orient="landscape"/>
          <w:pgMar w:top="1440" w:right="1440" w:bottom="1440" w:left="1440" w:header="720" w:footer="720" w:gutter="0"/>
          <w:pgNumType w:chapStyle="1"/>
          <w:cols w:space="360"/>
          <w:docGrid w:linePitch="360"/>
        </w:sectPr>
      </w:pPr>
    </w:p>
    <w:p w:rsidR="00DF26CD" w:rsidRPr="00190574" w:rsidRDefault="00DF26CD" w:rsidP="007C62D2">
      <w:pPr>
        <w:pStyle w:val="TableTitle"/>
      </w:pPr>
      <w:r w:rsidRPr="00190574">
        <w:lastRenderedPageBreak/>
        <w:t>Table A-2. Commercial/Institutional Fuel Combustion Crosswalk for Point Source Subtractions (Cont.)</w:t>
      </w:r>
    </w:p>
    <w:tbl>
      <w:tblPr>
        <w:tblW w:w="13068" w:type="dxa"/>
        <w:tblLayout w:type="fixed"/>
        <w:tblLook w:val="01E0" w:firstRow="1" w:lastRow="1" w:firstColumn="1" w:lastColumn="1" w:noHBand="0" w:noVBand="0"/>
        <w:tblCaption w:val="Table A-2. Commercial/Institutional Fuel Combustion Crosswalk for Point Source Subtractions (Cont.)"/>
        <w:tblDescription w:val="Point SCC SCC1 DESC SCC3 DESC SCC6 DESC SCC8 DESC"/>
      </w:tblPr>
      <w:tblGrid>
        <w:gridCol w:w="1008"/>
        <w:gridCol w:w="2340"/>
        <w:gridCol w:w="2430"/>
        <w:gridCol w:w="2520"/>
        <w:gridCol w:w="4770"/>
      </w:tblGrid>
      <w:tr w:rsidR="00190574" w:rsidRPr="00190574" w:rsidTr="007C62D2">
        <w:trPr>
          <w:cantSplit/>
          <w:trHeight w:val="342"/>
        </w:trPr>
        <w:tc>
          <w:tcPr>
            <w:tcW w:w="1008"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Point SCC</w:t>
            </w:r>
          </w:p>
        </w:tc>
        <w:tc>
          <w:tcPr>
            <w:tcW w:w="2340"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SCC1 DESC</w:t>
            </w:r>
          </w:p>
        </w:tc>
        <w:tc>
          <w:tcPr>
            <w:tcW w:w="2430"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SCC3 DESC</w:t>
            </w:r>
          </w:p>
        </w:tc>
        <w:tc>
          <w:tcPr>
            <w:tcW w:w="2520"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SCC6 DESC</w:t>
            </w:r>
          </w:p>
        </w:tc>
        <w:tc>
          <w:tcPr>
            <w:tcW w:w="4770"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SCC8 DESC</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10500202</w:t>
            </w:r>
          </w:p>
        </w:tc>
        <w:tc>
          <w:tcPr>
            <w:tcW w:w="2340" w:type="dxa"/>
            <w:tcBorders>
              <w:top w:val="dotted" w:sz="4" w:space="0" w:color="auto"/>
              <w:bottom w:val="dotted" w:sz="4" w:space="0" w:color="auto"/>
            </w:tcBorders>
            <w:noWrap/>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External Combustion</w:t>
            </w:r>
          </w:p>
        </w:tc>
        <w:tc>
          <w:tcPr>
            <w:tcW w:w="2430" w:type="dxa"/>
            <w:tcBorders>
              <w:top w:val="dotted" w:sz="4" w:space="0" w:color="auto"/>
              <w:bottom w:val="dotted" w:sz="4" w:space="0" w:color="auto"/>
            </w:tcBorders>
            <w:noWrap/>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Space Heaters</w:t>
            </w:r>
          </w:p>
        </w:tc>
        <w:tc>
          <w:tcPr>
            <w:tcW w:w="2520" w:type="dxa"/>
            <w:tcBorders>
              <w:top w:val="dotted" w:sz="4" w:space="0" w:color="auto"/>
              <w:bottom w:val="dotted" w:sz="4" w:space="0" w:color="auto"/>
            </w:tcBorders>
            <w:noWrap/>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Commercial/Institutional</w:t>
            </w:r>
          </w:p>
        </w:tc>
        <w:tc>
          <w:tcPr>
            <w:tcW w:w="4770" w:type="dxa"/>
            <w:tcBorders>
              <w:top w:val="dotted" w:sz="4" w:space="0" w:color="auto"/>
              <w:bottom w:val="dotted" w:sz="4" w:space="0" w:color="auto"/>
            </w:tcBorders>
            <w:noWrap/>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Coal **</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50190002</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Waste Disposal</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Solid Waste Disposal - Government</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Auxiliary Fuel/No Emissions</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Coal</w:t>
            </w:r>
          </w:p>
        </w:tc>
      </w:tr>
      <w:tr w:rsidR="00190574" w:rsidRPr="00190574" w:rsidTr="007C62D2">
        <w:trPr>
          <w:cantSplit/>
          <w:trHeight w:val="255"/>
        </w:trPr>
        <w:tc>
          <w:tcPr>
            <w:tcW w:w="1008"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50290002</w:t>
            </w:r>
          </w:p>
        </w:tc>
        <w:tc>
          <w:tcPr>
            <w:tcW w:w="234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Waste Disposal</w:t>
            </w:r>
          </w:p>
        </w:tc>
        <w:tc>
          <w:tcPr>
            <w:tcW w:w="243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Solid Waste Disposal - Commercial/Institutional</w:t>
            </w:r>
          </w:p>
        </w:tc>
        <w:tc>
          <w:tcPr>
            <w:tcW w:w="252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Auxiliary Fuel/No Emissions</w:t>
            </w:r>
          </w:p>
        </w:tc>
        <w:tc>
          <w:tcPr>
            <w:tcW w:w="477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Coal</w:t>
            </w:r>
          </w:p>
        </w:tc>
      </w:tr>
      <w:tr w:rsidR="00190574" w:rsidRPr="00190574" w:rsidTr="007C62D2">
        <w:trPr>
          <w:cantSplit/>
          <w:trHeight w:val="305"/>
        </w:trPr>
        <w:tc>
          <w:tcPr>
            <w:tcW w:w="13068" w:type="dxa"/>
            <w:gridSpan w:val="5"/>
            <w:tcBorders>
              <w:bottom w:val="single" w:sz="4" w:space="0" w:color="auto"/>
            </w:tcBorders>
            <w:shd w:val="clear" w:color="auto" w:fill="D6E3BC" w:themeFill="accent3" w:themeFillTint="66"/>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2103004000 - Stationary Source Fuel Combustion; Commercial/Institutional; Distillate Oil; Total: Boilers and IC Engines</w:t>
            </w:r>
          </w:p>
        </w:tc>
      </w:tr>
      <w:tr w:rsidR="00190574" w:rsidRPr="00190574" w:rsidTr="007C62D2">
        <w:trPr>
          <w:cantSplit/>
          <w:trHeight w:val="255"/>
        </w:trPr>
        <w:tc>
          <w:tcPr>
            <w:tcW w:w="1008"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10300501</w:t>
            </w:r>
          </w:p>
        </w:tc>
        <w:tc>
          <w:tcPr>
            <w:tcW w:w="234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Distillate Oil</w:t>
            </w:r>
          </w:p>
        </w:tc>
        <w:tc>
          <w:tcPr>
            <w:tcW w:w="477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Grades 1 and 2 Oil</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10300502</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Distillate Oil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10-100 Million BTU/hr **</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10300503</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Distillate Oil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&lt; 10 Million BTU/hr **</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10300504</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Distillate Oil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Grade 4 Oil</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10500205</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Space Heaters</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Distillate Oil</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20300101</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Distillate Oil (Diesel)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Reciprocating</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20300102</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Distillate Oil (Diesel)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Turbine</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20300105</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Distillate Oil (Diesel)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Reciprocating: Crankcase Blowby</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lastRenderedPageBreak/>
              <w:t>20300106</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Distillate Oil (Diesel)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Reciprocating: Evaporative Losses (Fuel Storage and Delivery System)</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20300107</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Distillate Oil (Diesel)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Reciprocating: Exhaust</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20300108</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Distillate Oil (Diesel)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Turbine: Evaporative Losses (Fuel Storage and Delivery System)</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20300109</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Distillate Oil (Diesel)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Turbine: Exhaust</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50100602</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Waste Disposal</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Solid Waste Disposal - Government</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Fire Fighting</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Structure: Distillate Oil</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50190005</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Waste Disposal</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Solid Waste Disposal - Government</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Auxiliary Fuel/No Emissions</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Distillate Oil</w:t>
            </w:r>
          </w:p>
        </w:tc>
      </w:tr>
      <w:tr w:rsidR="00190574" w:rsidRPr="00190574" w:rsidTr="007C62D2">
        <w:trPr>
          <w:cantSplit/>
          <w:trHeight w:val="255"/>
        </w:trPr>
        <w:tc>
          <w:tcPr>
            <w:tcW w:w="1008"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50290005</w:t>
            </w:r>
          </w:p>
        </w:tc>
        <w:tc>
          <w:tcPr>
            <w:tcW w:w="234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Waste Disposal</w:t>
            </w:r>
          </w:p>
        </w:tc>
        <w:tc>
          <w:tcPr>
            <w:tcW w:w="243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Solid Waste Disposal - Commercial/Institutional</w:t>
            </w:r>
          </w:p>
        </w:tc>
        <w:tc>
          <w:tcPr>
            <w:tcW w:w="252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Auxiliary Fuel/No Emissions</w:t>
            </w:r>
          </w:p>
        </w:tc>
        <w:tc>
          <w:tcPr>
            <w:tcW w:w="477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Distillate Oil</w:t>
            </w:r>
          </w:p>
        </w:tc>
      </w:tr>
      <w:tr w:rsidR="00190574" w:rsidRPr="00190574" w:rsidTr="007C62D2">
        <w:trPr>
          <w:cantSplit/>
          <w:trHeight w:val="332"/>
        </w:trPr>
        <w:tc>
          <w:tcPr>
            <w:tcW w:w="13068" w:type="dxa"/>
            <w:gridSpan w:val="5"/>
            <w:tcBorders>
              <w:bottom w:val="single" w:sz="4" w:space="0" w:color="auto"/>
            </w:tcBorders>
            <w:shd w:val="clear" w:color="auto" w:fill="D6E3BC" w:themeFill="accent3" w:themeFillTint="66"/>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2103005000 - Stationary Source Fuel Combustion; Commercial/Institutional; Residual Oil; Total: All Boiler Types</w:t>
            </w:r>
          </w:p>
        </w:tc>
      </w:tr>
      <w:tr w:rsidR="00190574" w:rsidRPr="00190574" w:rsidTr="007C62D2">
        <w:trPr>
          <w:cantSplit/>
          <w:trHeight w:val="255"/>
        </w:trPr>
        <w:tc>
          <w:tcPr>
            <w:tcW w:w="1008"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10300401</w:t>
            </w:r>
          </w:p>
        </w:tc>
        <w:tc>
          <w:tcPr>
            <w:tcW w:w="234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Residual Oil</w:t>
            </w:r>
          </w:p>
        </w:tc>
        <w:tc>
          <w:tcPr>
            <w:tcW w:w="477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Grade 6 Oil</w:t>
            </w:r>
          </w:p>
        </w:tc>
      </w:tr>
      <w:tr w:rsidR="00DF26CD"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10300402</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Residual Oil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10-100 Million BTU/hr **</w:t>
            </w:r>
          </w:p>
        </w:tc>
      </w:tr>
    </w:tbl>
    <w:p w:rsidR="002835A7" w:rsidRDefault="002835A7" w:rsidP="007C62D2">
      <w:pPr>
        <w:pStyle w:val="TableTitle"/>
        <w:sectPr w:rsidR="002835A7" w:rsidSect="006629C8">
          <w:pgSz w:w="15840" w:h="12240" w:orient="landscape"/>
          <w:pgMar w:top="1440" w:right="1440" w:bottom="1440" w:left="1440" w:header="720" w:footer="720" w:gutter="0"/>
          <w:pgNumType w:chapStyle="1"/>
          <w:cols w:space="360"/>
          <w:docGrid w:linePitch="360"/>
        </w:sectPr>
      </w:pPr>
    </w:p>
    <w:p w:rsidR="00DF26CD" w:rsidRPr="00190574" w:rsidRDefault="00DF26CD" w:rsidP="007C62D2">
      <w:pPr>
        <w:pStyle w:val="TableTitle"/>
      </w:pPr>
      <w:r w:rsidRPr="00190574">
        <w:lastRenderedPageBreak/>
        <w:t>Table A-2. Commercial/Institutional Fuel Combustion Crosswalk for Point Source Subtractions (Cont.)</w:t>
      </w:r>
    </w:p>
    <w:tbl>
      <w:tblPr>
        <w:tblW w:w="13068" w:type="dxa"/>
        <w:tblLayout w:type="fixed"/>
        <w:tblLook w:val="01E0" w:firstRow="1" w:lastRow="1" w:firstColumn="1" w:lastColumn="1" w:noHBand="0" w:noVBand="0"/>
        <w:tblCaption w:val="Table A-2. Commercial/Institutional Fuel Combustion Crosswalk for Point Source Subtractions (Cont.)"/>
        <w:tblDescription w:val="Point SCC SCC1 DESC SCC3 DESC SCC6 DESC SCC8 DESC"/>
      </w:tblPr>
      <w:tblGrid>
        <w:gridCol w:w="1008"/>
        <w:gridCol w:w="2340"/>
        <w:gridCol w:w="2430"/>
        <w:gridCol w:w="2520"/>
        <w:gridCol w:w="4770"/>
      </w:tblGrid>
      <w:tr w:rsidR="00190574" w:rsidRPr="00190574" w:rsidTr="007C62D2">
        <w:trPr>
          <w:cantSplit/>
          <w:trHeight w:val="342"/>
        </w:trPr>
        <w:tc>
          <w:tcPr>
            <w:tcW w:w="1008"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Point SCC</w:t>
            </w:r>
          </w:p>
        </w:tc>
        <w:tc>
          <w:tcPr>
            <w:tcW w:w="2340"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SCC1 DESC</w:t>
            </w:r>
          </w:p>
        </w:tc>
        <w:tc>
          <w:tcPr>
            <w:tcW w:w="2430"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SCC3 DESC</w:t>
            </w:r>
          </w:p>
        </w:tc>
        <w:tc>
          <w:tcPr>
            <w:tcW w:w="2520"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SCC6 DESC</w:t>
            </w:r>
          </w:p>
        </w:tc>
        <w:tc>
          <w:tcPr>
            <w:tcW w:w="4770"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SCC8 DESC</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10300403</w:t>
            </w:r>
          </w:p>
        </w:tc>
        <w:tc>
          <w:tcPr>
            <w:tcW w:w="2340" w:type="dxa"/>
            <w:tcBorders>
              <w:top w:val="dotted" w:sz="4" w:space="0" w:color="auto"/>
              <w:bottom w:val="dotted" w:sz="4" w:space="0" w:color="auto"/>
            </w:tcBorders>
            <w:noWrap/>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Residual Oil</w:t>
            </w:r>
          </w:p>
        </w:tc>
        <w:tc>
          <w:tcPr>
            <w:tcW w:w="4770" w:type="dxa"/>
            <w:tcBorders>
              <w:top w:val="dotted" w:sz="4" w:space="0" w:color="auto"/>
              <w:bottom w:val="dotted" w:sz="4" w:space="0" w:color="auto"/>
            </w:tcBorders>
            <w:noWrap/>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&lt; 10 Million BTU/hr **</w:t>
            </w:r>
          </w:p>
        </w:tc>
      </w:tr>
      <w:tr w:rsidR="00190574" w:rsidRPr="00190574" w:rsidTr="007C62D2">
        <w:trPr>
          <w:cantSplit/>
          <w:trHeight w:val="255"/>
        </w:trPr>
        <w:tc>
          <w:tcPr>
            <w:tcW w:w="1008"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10300404</w:t>
            </w:r>
          </w:p>
        </w:tc>
        <w:tc>
          <w:tcPr>
            <w:tcW w:w="234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Residual Oil</w:t>
            </w:r>
          </w:p>
        </w:tc>
        <w:tc>
          <w:tcPr>
            <w:tcW w:w="477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Grade 5 Oil</w:t>
            </w:r>
          </w:p>
        </w:tc>
      </w:tr>
      <w:tr w:rsidR="00190574" w:rsidRPr="00190574" w:rsidTr="007C62D2">
        <w:trPr>
          <w:cantSplit/>
          <w:trHeight w:val="377"/>
        </w:trPr>
        <w:tc>
          <w:tcPr>
            <w:tcW w:w="13068" w:type="dxa"/>
            <w:gridSpan w:val="5"/>
            <w:tcBorders>
              <w:top w:val="single" w:sz="4" w:space="0" w:color="auto"/>
              <w:bottom w:val="single" w:sz="4" w:space="0" w:color="auto"/>
            </w:tcBorders>
            <w:shd w:val="clear" w:color="auto" w:fill="D6E3BC" w:themeFill="accent3" w:themeFillTint="66"/>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2103006000 - Stationary Source Fuel Combustion; Commercial/Institutional; Natural Gas; Total: Boilers and IC Engines</w:t>
            </w:r>
          </w:p>
        </w:tc>
      </w:tr>
      <w:tr w:rsidR="00190574" w:rsidRPr="00190574" w:rsidTr="007C62D2">
        <w:trPr>
          <w:cantSplit/>
          <w:trHeight w:val="255"/>
        </w:trPr>
        <w:tc>
          <w:tcPr>
            <w:tcW w:w="1008"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10300601</w:t>
            </w:r>
          </w:p>
        </w:tc>
        <w:tc>
          <w:tcPr>
            <w:tcW w:w="234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Natural Gas</w:t>
            </w:r>
          </w:p>
        </w:tc>
        <w:tc>
          <w:tcPr>
            <w:tcW w:w="477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&gt; 100 Million BTU/hr</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10300602</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Natural Gas</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10-100 Million BTU/hr</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10300603</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Natural Gas</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&lt; 10 Million BTU/hr</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10500206</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Space Heaters</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Natural Gas</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20300201</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Natural Gas</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Reciprocating</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20300202</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Natural Gas</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Turbine</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20300203</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Natural Gas</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Turbine: Cogeneration</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20300204</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Natural Gas</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Cogeneration</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20300205</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Natural Gas</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Reciprocating: Crankcase Blowby</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lastRenderedPageBreak/>
              <w:t>20300206</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Natural Gas</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Reciprocating: Evaporative Losses (Fuel Delivery System)</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20300207</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Natural Gas</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Reciprocating: Exhaust</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20300208</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Natural Gas</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Turbine: Evaporative Losses (Fuel Delivery System)</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20300209</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Natural Gas</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Turbine: Exhaust</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50190006</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Waste Disposal</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Solid Waste Disposal - Government</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Auxiliary Fuel/No Emissions</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Natural Gas</w:t>
            </w:r>
          </w:p>
        </w:tc>
      </w:tr>
      <w:tr w:rsidR="00190574" w:rsidRPr="00190574" w:rsidTr="007C62D2">
        <w:trPr>
          <w:cantSplit/>
          <w:trHeight w:val="255"/>
        </w:trPr>
        <w:tc>
          <w:tcPr>
            <w:tcW w:w="1008"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50290006</w:t>
            </w:r>
          </w:p>
        </w:tc>
        <w:tc>
          <w:tcPr>
            <w:tcW w:w="234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Waste Disposal</w:t>
            </w:r>
          </w:p>
        </w:tc>
        <w:tc>
          <w:tcPr>
            <w:tcW w:w="243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Solid Waste Disposal - Commercial/Institutional</w:t>
            </w:r>
          </w:p>
        </w:tc>
        <w:tc>
          <w:tcPr>
            <w:tcW w:w="252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Auxiliary Fuel/No Emissions</w:t>
            </w:r>
          </w:p>
        </w:tc>
        <w:tc>
          <w:tcPr>
            <w:tcW w:w="477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Natural Gas</w:t>
            </w:r>
          </w:p>
        </w:tc>
      </w:tr>
      <w:tr w:rsidR="00190574" w:rsidRPr="00190574" w:rsidTr="007C62D2">
        <w:trPr>
          <w:cantSplit/>
          <w:trHeight w:val="458"/>
        </w:trPr>
        <w:tc>
          <w:tcPr>
            <w:tcW w:w="13068" w:type="dxa"/>
            <w:gridSpan w:val="5"/>
            <w:tcBorders>
              <w:top w:val="single" w:sz="4" w:space="0" w:color="auto"/>
              <w:bottom w:val="single" w:sz="4" w:space="0" w:color="auto"/>
            </w:tcBorders>
            <w:shd w:val="clear" w:color="auto" w:fill="D6E3BC" w:themeFill="accent3" w:themeFillTint="66"/>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2103007000 - Stationary Source Fuel Combustion; Commercial/Institutional; Liquified Petroleum Gas (LPG); Total: All Combustor Types</w:t>
            </w:r>
          </w:p>
        </w:tc>
      </w:tr>
      <w:tr w:rsidR="00190574" w:rsidRPr="00190574" w:rsidTr="007C62D2">
        <w:trPr>
          <w:cantSplit/>
          <w:trHeight w:val="255"/>
        </w:trPr>
        <w:tc>
          <w:tcPr>
            <w:tcW w:w="1008"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10301001</w:t>
            </w:r>
          </w:p>
        </w:tc>
        <w:tc>
          <w:tcPr>
            <w:tcW w:w="234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Liquified Petroleum Gas (LPG)</w:t>
            </w:r>
          </w:p>
        </w:tc>
        <w:tc>
          <w:tcPr>
            <w:tcW w:w="477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Butane</w:t>
            </w:r>
          </w:p>
        </w:tc>
      </w:tr>
      <w:tr w:rsidR="00DF26CD"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10301002</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Liquified Petroleum Gas (LPG)</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Propane</w:t>
            </w:r>
          </w:p>
        </w:tc>
      </w:tr>
    </w:tbl>
    <w:p w:rsidR="00A269EF" w:rsidRDefault="00A269EF" w:rsidP="007C62D2">
      <w:pPr>
        <w:pStyle w:val="TableTitle"/>
        <w:sectPr w:rsidR="00A269EF" w:rsidSect="006629C8">
          <w:pgSz w:w="15840" w:h="12240" w:orient="landscape"/>
          <w:pgMar w:top="1440" w:right="1440" w:bottom="1440" w:left="1440" w:header="720" w:footer="720" w:gutter="0"/>
          <w:pgNumType w:chapStyle="1"/>
          <w:cols w:space="360"/>
          <w:docGrid w:linePitch="360"/>
        </w:sectPr>
      </w:pPr>
    </w:p>
    <w:p w:rsidR="00DF26CD" w:rsidRPr="00190574" w:rsidRDefault="00DF26CD" w:rsidP="007C62D2">
      <w:pPr>
        <w:pStyle w:val="TableTitle"/>
      </w:pPr>
      <w:r w:rsidRPr="00190574">
        <w:lastRenderedPageBreak/>
        <w:t>Table A-2. Commercial/Institutional Fuel Combustion Crosswalk for Point Source Subtractions (Cont.)</w:t>
      </w:r>
    </w:p>
    <w:tbl>
      <w:tblPr>
        <w:tblW w:w="13068" w:type="dxa"/>
        <w:tblLayout w:type="fixed"/>
        <w:tblLook w:val="01E0" w:firstRow="1" w:lastRow="1" w:firstColumn="1" w:lastColumn="1" w:noHBand="0" w:noVBand="0"/>
        <w:tblCaption w:val="Table A-2. Commercial/Institutional Fuel Combustion Crosswalk for Point Source Subtractions (Cont.)"/>
        <w:tblDescription w:val="Point SCC SCC1 DESC SCC3 DESC SCC6 DESC SCC8 DESC"/>
      </w:tblPr>
      <w:tblGrid>
        <w:gridCol w:w="1008"/>
        <w:gridCol w:w="2340"/>
        <w:gridCol w:w="2430"/>
        <w:gridCol w:w="2520"/>
        <w:gridCol w:w="4770"/>
      </w:tblGrid>
      <w:tr w:rsidR="00190574" w:rsidRPr="00190574" w:rsidTr="007C62D2">
        <w:trPr>
          <w:cantSplit/>
          <w:trHeight w:val="342"/>
        </w:trPr>
        <w:tc>
          <w:tcPr>
            <w:tcW w:w="1008"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Point SCC</w:t>
            </w:r>
          </w:p>
        </w:tc>
        <w:tc>
          <w:tcPr>
            <w:tcW w:w="2340"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SCC1 DESC</w:t>
            </w:r>
          </w:p>
        </w:tc>
        <w:tc>
          <w:tcPr>
            <w:tcW w:w="2430"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SCC3 DESC</w:t>
            </w:r>
          </w:p>
        </w:tc>
        <w:tc>
          <w:tcPr>
            <w:tcW w:w="2520"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SCC6 DESC</w:t>
            </w:r>
          </w:p>
        </w:tc>
        <w:tc>
          <w:tcPr>
            <w:tcW w:w="4770" w:type="dxa"/>
            <w:tcBorders>
              <w:top w:val="single" w:sz="4" w:space="0" w:color="auto"/>
              <w:bottom w:val="single" w:sz="4" w:space="0" w:color="auto"/>
            </w:tcBorders>
            <w:shd w:val="clear" w:color="auto" w:fill="B8CCE4" w:themeFill="accent1" w:themeFillTint="66"/>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SCC8 DESC</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10301003</w:t>
            </w:r>
          </w:p>
        </w:tc>
        <w:tc>
          <w:tcPr>
            <w:tcW w:w="2340" w:type="dxa"/>
            <w:tcBorders>
              <w:top w:val="dotted" w:sz="4" w:space="0" w:color="auto"/>
              <w:bottom w:val="dotted" w:sz="4" w:space="0" w:color="auto"/>
            </w:tcBorders>
            <w:noWrap/>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Liquified Petroleum Gas (LPG)</w:t>
            </w:r>
          </w:p>
        </w:tc>
        <w:tc>
          <w:tcPr>
            <w:tcW w:w="4770" w:type="dxa"/>
            <w:tcBorders>
              <w:top w:val="dotted" w:sz="4" w:space="0" w:color="auto"/>
              <w:bottom w:val="dotted" w:sz="4" w:space="0" w:color="auto"/>
            </w:tcBorders>
            <w:noWrap/>
            <w:vAlign w:val="center"/>
          </w:tcPr>
          <w:p w:rsidR="00DF26CD" w:rsidRPr="00190574" w:rsidRDefault="00DF26CD" w:rsidP="00DF26CD">
            <w:pPr>
              <w:keepNext/>
              <w:keepLines/>
              <w:ind w:firstLine="0"/>
              <w:jc w:val="center"/>
              <w:rPr>
                <w:rFonts w:ascii="Times New Roman" w:hAnsi="Times New Roman"/>
                <w:b/>
                <w:sz w:val="24"/>
              </w:rPr>
            </w:pPr>
            <w:r w:rsidRPr="00190574">
              <w:rPr>
                <w:rFonts w:ascii="Times New Roman" w:hAnsi="Times New Roman"/>
                <w:b/>
                <w:sz w:val="24"/>
              </w:rPr>
              <w:t>Butane/Propane Mixture: Specify Percent Butane in Comments</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10500210</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Space Heaters</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Liquified Petroleum Gas (LPG)</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20301001</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Liquified Petroleum Gas (LPG)</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Propane: Reciprocating</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20301002</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Liquified Petroleum Gas (LPG)</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Butane: Reciprocating</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20301005</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Liquified Petroleum Gas (LPG)</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Reciprocating: Crankcase Blowby</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20301006</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Liquified Petroleum Gas (LPG)</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Reciprocating: Evaporative Losses (Fuel Storage and Delivery System)</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20301007</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Liquified Petroleum Gas (LPG)</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Reciprocating: Exhaust</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50190010</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Waste Disposal</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Solid Waste Disposal - Government</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Auxiliary Fuel/No Emissions</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Liquified Petroleum Gas (LPG)</w:t>
            </w:r>
          </w:p>
        </w:tc>
      </w:tr>
      <w:tr w:rsidR="00190574" w:rsidRPr="00190574" w:rsidTr="007C62D2">
        <w:trPr>
          <w:cantSplit/>
          <w:trHeight w:val="255"/>
        </w:trPr>
        <w:tc>
          <w:tcPr>
            <w:tcW w:w="1008"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50290010</w:t>
            </w:r>
          </w:p>
        </w:tc>
        <w:tc>
          <w:tcPr>
            <w:tcW w:w="234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Waste Disposal</w:t>
            </w:r>
          </w:p>
        </w:tc>
        <w:tc>
          <w:tcPr>
            <w:tcW w:w="243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Solid Waste Disposal - Commercial/Institutional</w:t>
            </w:r>
          </w:p>
        </w:tc>
        <w:tc>
          <w:tcPr>
            <w:tcW w:w="252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Auxiliary Fuel/No Emissions</w:t>
            </w:r>
          </w:p>
        </w:tc>
        <w:tc>
          <w:tcPr>
            <w:tcW w:w="477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Liquified Petroleum Gas (LPG)</w:t>
            </w:r>
          </w:p>
        </w:tc>
      </w:tr>
      <w:tr w:rsidR="00190574" w:rsidRPr="00190574" w:rsidTr="007C62D2">
        <w:trPr>
          <w:cantSplit/>
          <w:trHeight w:val="395"/>
        </w:trPr>
        <w:tc>
          <w:tcPr>
            <w:tcW w:w="13068" w:type="dxa"/>
            <w:gridSpan w:val="5"/>
            <w:tcBorders>
              <w:top w:val="single" w:sz="4" w:space="0" w:color="auto"/>
              <w:bottom w:val="single" w:sz="4" w:space="0" w:color="auto"/>
            </w:tcBorders>
            <w:shd w:val="clear" w:color="auto" w:fill="D6E3BC" w:themeFill="accent3" w:themeFillTint="66"/>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2103008000 - Stationary Source Fuel Combustion; Commercial/Institutional; Wood; Total: All Boiler Types</w:t>
            </w:r>
          </w:p>
        </w:tc>
      </w:tr>
      <w:tr w:rsidR="00190574" w:rsidRPr="00190574" w:rsidTr="007C62D2">
        <w:trPr>
          <w:cantSplit/>
          <w:trHeight w:val="255"/>
        </w:trPr>
        <w:tc>
          <w:tcPr>
            <w:tcW w:w="1008"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10300901</w:t>
            </w:r>
          </w:p>
        </w:tc>
        <w:tc>
          <w:tcPr>
            <w:tcW w:w="234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Wood/Bark Waste</w:t>
            </w:r>
          </w:p>
        </w:tc>
        <w:tc>
          <w:tcPr>
            <w:tcW w:w="477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Bark-fired Boiler</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lastRenderedPageBreak/>
              <w:t>10300902</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Wood/Bark Waste</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Wood/Bark-fired Boiler</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10300903</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Wood/Bark Waste</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Wood-fired Boiler - Wet Wood (&gt;=20% moisture)</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10300908</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Wood/Bark Waste</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Wood-fired Boiler - Dry Wood (&lt;20% moisture)</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10300910</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Wood/Bark Waste</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Fuel cell/Dutch oven boilers **</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10300911</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Wood/Bark Waste</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Stoker boilers **</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10300912</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 Boilers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Wood/Bark Waste</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Fluidized bed combustion boilers</w:t>
            </w:r>
          </w:p>
        </w:tc>
      </w:tr>
      <w:tr w:rsidR="00190574" w:rsidRPr="00190574" w:rsidTr="007C62D2">
        <w:trPr>
          <w:cantSplit/>
          <w:trHeight w:val="255"/>
        </w:trPr>
        <w:tc>
          <w:tcPr>
            <w:tcW w:w="1008"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10500209</w:t>
            </w:r>
          </w:p>
        </w:tc>
        <w:tc>
          <w:tcPr>
            <w:tcW w:w="234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External Combustion</w:t>
            </w:r>
          </w:p>
        </w:tc>
        <w:tc>
          <w:tcPr>
            <w:tcW w:w="243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Space Heaters</w:t>
            </w:r>
          </w:p>
        </w:tc>
        <w:tc>
          <w:tcPr>
            <w:tcW w:w="252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477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Wood</w:t>
            </w:r>
          </w:p>
        </w:tc>
      </w:tr>
      <w:tr w:rsidR="00190574" w:rsidRPr="00190574" w:rsidTr="007C62D2">
        <w:trPr>
          <w:cantSplit/>
          <w:trHeight w:val="350"/>
        </w:trPr>
        <w:tc>
          <w:tcPr>
            <w:tcW w:w="13068" w:type="dxa"/>
            <w:gridSpan w:val="5"/>
            <w:tcBorders>
              <w:top w:val="single" w:sz="4" w:space="0" w:color="auto"/>
              <w:bottom w:val="single" w:sz="4" w:space="0" w:color="auto"/>
            </w:tcBorders>
            <w:shd w:val="clear" w:color="auto" w:fill="D6E3BC" w:themeFill="accent3" w:themeFillTint="66"/>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2103011000 - Stationary Source Fuel Combustion; Commercial/Institutional; Kerosene; Total: All Combustor Types</w:t>
            </w:r>
          </w:p>
        </w:tc>
      </w:tr>
      <w:tr w:rsidR="00190574" w:rsidRPr="00190574" w:rsidTr="007C62D2">
        <w:trPr>
          <w:cantSplit/>
          <w:trHeight w:val="255"/>
        </w:trPr>
        <w:tc>
          <w:tcPr>
            <w:tcW w:w="1008"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20300901</w:t>
            </w:r>
          </w:p>
        </w:tc>
        <w:tc>
          <w:tcPr>
            <w:tcW w:w="234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Kerosene/Naphtha (Jet Fuel)</w:t>
            </w:r>
          </w:p>
        </w:tc>
        <w:tc>
          <w:tcPr>
            <w:tcW w:w="4770" w:type="dxa"/>
            <w:tcBorders>
              <w:top w:val="single"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Turbine: JP-4</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20300908</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Kerosene/Naphtha (Jet Fuel)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Turbine: Evaporative Losses (Fuel Storage and Delivery System)</w:t>
            </w:r>
          </w:p>
        </w:tc>
      </w:tr>
      <w:tr w:rsidR="00190574" w:rsidRPr="00190574" w:rsidTr="007C62D2">
        <w:trPr>
          <w:cantSplit/>
          <w:trHeight w:val="255"/>
        </w:trPr>
        <w:tc>
          <w:tcPr>
            <w:tcW w:w="1008"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20300909</w:t>
            </w:r>
          </w:p>
        </w:tc>
        <w:tc>
          <w:tcPr>
            <w:tcW w:w="234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Internal Combustion Engines</w:t>
            </w:r>
          </w:p>
        </w:tc>
        <w:tc>
          <w:tcPr>
            <w:tcW w:w="243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Commercial/Institutional</w:t>
            </w:r>
          </w:p>
        </w:tc>
        <w:tc>
          <w:tcPr>
            <w:tcW w:w="252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Kerosene/Naphtha (Jet Fuel)</w:t>
            </w:r>
          </w:p>
        </w:tc>
        <w:tc>
          <w:tcPr>
            <w:tcW w:w="4770" w:type="dxa"/>
            <w:tcBorders>
              <w:top w:val="dotted" w:sz="4" w:space="0" w:color="auto"/>
              <w:bottom w:val="dotted"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Turbine: Exhaust</w:t>
            </w:r>
          </w:p>
        </w:tc>
      </w:tr>
      <w:tr w:rsidR="00190574" w:rsidRPr="00190574" w:rsidTr="007C62D2">
        <w:trPr>
          <w:cantSplit/>
          <w:trHeight w:val="255"/>
        </w:trPr>
        <w:tc>
          <w:tcPr>
            <w:tcW w:w="1008"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50100603</w:t>
            </w:r>
          </w:p>
        </w:tc>
        <w:tc>
          <w:tcPr>
            <w:tcW w:w="234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Waste Disposal</w:t>
            </w:r>
          </w:p>
        </w:tc>
        <w:tc>
          <w:tcPr>
            <w:tcW w:w="243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Solid Waste Disposal - Government</w:t>
            </w:r>
          </w:p>
        </w:tc>
        <w:tc>
          <w:tcPr>
            <w:tcW w:w="252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Fire Fighting</w:t>
            </w:r>
          </w:p>
        </w:tc>
        <w:tc>
          <w:tcPr>
            <w:tcW w:w="4770" w:type="dxa"/>
            <w:tcBorders>
              <w:top w:val="dotted" w:sz="4" w:space="0" w:color="auto"/>
              <w:bottom w:val="single" w:sz="4" w:space="0" w:color="auto"/>
            </w:tcBorders>
            <w:noWrap/>
            <w:vAlign w:val="center"/>
          </w:tcPr>
          <w:p w:rsidR="00DF26CD" w:rsidRPr="00190574" w:rsidRDefault="00DF26CD" w:rsidP="00DF26CD">
            <w:pPr>
              <w:ind w:firstLine="0"/>
              <w:jc w:val="center"/>
              <w:rPr>
                <w:rFonts w:ascii="Times New Roman" w:hAnsi="Times New Roman"/>
                <w:b/>
                <w:sz w:val="24"/>
              </w:rPr>
            </w:pPr>
            <w:r w:rsidRPr="00190574">
              <w:rPr>
                <w:rFonts w:ascii="Times New Roman" w:hAnsi="Times New Roman"/>
                <w:b/>
                <w:sz w:val="24"/>
              </w:rPr>
              <w:t>Structure: Kerosene</w:t>
            </w:r>
          </w:p>
        </w:tc>
      </w:tr>
    </w:tbl>
    <w:p w:rsidR="00DF26CD" w:rsidRPr="00190574" w:rsidRDefault="00DF26CD" w:rsidP="00DF26CD">
      <w:pPr>
        <w:rPr>
          <w:rFonts w:ascii="Times New Roman" w:hAnsi="Times New Roman"/>
          <w:sz w:val="24"/>
        </w:rPr>
      </w:pPr>
      <w:r w:rsidRPr="00190574">
        <w:rPr>
          <w:rFonts w:ascii="Times New Roman" w:hAnsi="Times New Roman"/>
          <w:sz w:val="24"/>
        </w:rPr>
        <w:br w:type="page"/>
      </w:r>
    </w:p>
    <w:p w:rsidR="00DF26CD" w:rsidRPr="00190574" w:rsidRDefault="000F5612" w:rsidP="000F5612">
      <w:pPr>
        <w:pStyle w:val="Caption"/>
        <w:keepNext/>
        <w:jc w:val="center"/>
        <w:rPr>
          <w:rFonts w:ascii="Times New Roman" w:hAnsi="Times New Roman"/>
          <w:sz w:val="24"/>
          <w:szCs w:val="24"/>
        </w:rPr>
      </w:pPr>
      <w:bookmarkStart w:id="41" w:name="_Ref416181044"/>
      <w:bookmarkStart w:id="42" w:name="_Toc239168406"/>
      <w:bookmarkStart w:id="43" w:name="_Toc321984953"/>
      <w:bookmarkStart w:id="44" w:name="_Toc484000187"/>
      <w:r w:rsidRPr="00190574">
        <w:rPr>
          <w:rFonts w:ascii="Times New Roman" w:hAnsi="Times New Roman"/>
          <w:sz w:val="24"/>
          <w:szCs w:val="24"/>
        </w:rPr>
        <w:lastRenderedPageBreak/>
        <w:t>Table A-</w:t>
      </w:r>
      <w:r w:rsidR="006100DB" w:rsidRPr="00190574">
        <w:rPr>
          <w:rFonts w:ascii="Times New Roman" w:hAnsi="Times New Roman"/>
          <w:sz w:val="24"/>
          <w:szCs w:val="24"/>
        </w:rPr>
        <w:fldChar w:fldCharType="begin"/>
      </w:r>
      <w:r w:rsidR="006100DB" w:rsidRPr="00190574">
        <w:rPr>
          <w:rFonts w:ascii="Times New Roman" w:hAnsi="Times New Roman"/>
          <w:sz w:val="24"/>
          <w:szCs w:val="24"/>
        </w:rPr>
        <w:instrText xml:space="preserve"> SEQ Table\r 3 \* ARABIC </w:instrText>
      </w:r>
      <w:r w:rsidR="006100DB" w:rsidRPr="00190574">
        <w:rPr>
          <w:rFonts w:ascii="Times New Roman" w:hAnsi="Times New Roman"/>
          <w:sz w:val="24"/>
          <w:szCs w:val="24"/>
        </w:rPr>
        <w:fldChar w:fldCharType="separate"/>
      </w:r>
      <w:r w:rsidR="0021591B" w:rsidRPr="00190574">
        <w:rPr>
          <w:rFonts w:ascii="Times New Roman" w:hAnsi="Times New Roman"/>
          <w:noProof/>
          <w:sz w:val="24"/>
          <w:szCs w:val="24"/>
        </w:rPr>
        <w:t>3</w:t>
      </w:r>
      <w:r w:rsidR="006100DB" w:rsidRPr="00190574">
        <w:rPr>
          <w:rFonts w:ascii="Times New Roman" w:hAnsi="Times New Roman"/>
          <w:sz w:val="24"/>
          <w:szCs w:val="24"/>
        </w:rPr>
        <w:fldChar w:fldCharType="end"/>
      </w:r>
      <w:bookmarkEnd w:id="41"/>
      <w:r w:rsidR="00937313" w:rsidRPr="00190574">
        <w:rPr>
          <w:rFonts w:ascii="Times New Roman" w:hAnsi="Times New Roman"/>
          <w:sz w:val="24"/>
          <w:szCs w:val="24"/>
        </w:rPr>
        <w:t>.</w:t>
      </w:r>
      <w:r w:rsidR="00DF26CD" w:rsidRPr="00190574">
        <w:rPr>
          <w:rFonts w:ascii="Times New Roman" w:hAnsi="Times New Roman"/>
          <w:sz w:val="24"/>
          <w:szCs w:val="24"/>
        </w:rPr>
        <w:t xml:space="preserve"> Criteria Pollutant Emission Factors for ICI Area Source Categories</w:t>
      </w:r>
      <w:bookmarkEnd w:id="42"/>
      <w:bookmarkEnd w:id="43"/>
      <w:bookmarkEnd w:id="44"/>
    </w:p>
    <w:tbl>
      <w:tblPr>
        <w:tblW w:w="13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29" w:type="dxa"/>
          <w:bottom w:w="14" w:type="dxa"/>
          <w:right w:w="29" w:type="dxa"/>
        </w:tblCellMar>
        <w:tblLook w:val="01E0" w:firstRow="1" w:lastRow="1" w:firstColumn="1" w:lastColumn="1" w:noHBand="0" w:noVBand="0"/>
        <w:tblCaption w:val="Table A-3. Criteria Pollutant Emission Factors for ICI Area Source Categories"/>
        <w:tblDescription w:val="SCC Description Emission Factor Units1 VOC NOx CO SO2 PM2.5-FIL PM10-FIL PM-CON NH3"/>
      </w:tblPr>
      <w:tblGrid>
        <w:gridCol w:w="1067"/>
        <w:gridCol w:w="2742"/>
        <w:gridCol w:w="1260"/>
        <w:gridCol w:w="900"/>
        <w:gridCol w:w="900"/>
        <w:gridCol w:w="900"/>
        <w:gridCol w:w="1080"/>
        <w:gridCol w:w="1260"/>
        <w:gridCol w:w="1246"/>
        <w:gridCol w:w="1094"/>
        <w:gridCol w:w="900"/>
      </w:tblGrid>
      <w:tr w:rsidR="00190574" w:rsidRPr="00190574" w:rsidTr="00744C67">
        <w:trPr>
          <w:jc w:val="center"/>
        </w:trPr>
        <w:tc>
          <w:tcPr>
            <w:tcW w:w="1067" w:type="dxa"/>
            <w:shd w:val="clear" w:color="auto" w:fill="D6291C"/>
            <w:vAlign w:val="center"/>
          </w:tcPr>
          <w:p w:rsidR="00DF26CD" w:rsidRPr="00190574" w:rsidRDefault="00DF26CD" w:rsidP="00DF26CD">
            <w:pPr>
              <w:widowControl w:val="0"/>
              <w:ind w:firstLine="0"/>
              <w:jc w:val="center"/>
              <w:rPr>
                <w:rFonts w:cs="Arial"/>
                <w:b/>
                <w:bCs/>
                <w:snapToGrid w:val="0"/>
                <w:sz w:val="24"/>
              </w:rPr>
            </w:pPr>
            <w:r w:rsidRPr="00190574">
              <w:rPr>
                <w:rFonts w:cs="Arial"/>
                <w:b/>
                <w:bCs/>
                <w:snapToGrid w:val="0"/>
                <w:sz w:val="24"/>
              </w:rPr>
              <w:t>SCC</w:t>
            </w:r>
          </w:p>
        </w:tc>
        <w:tc>
          <w:tcPr>
            <w:tcW w:w="2742" w:type="dxa"/>
            <w:shd w:val="clear" w:color="auto" w:fill="D6291C"/>
            <w:vAlign w:val="center"/>
          </w:tcPr>
          <w:p w:rsidR="00DF26CD" w:rsidRPr="00190574" w:rsidRDefault="00DF26CD" w:rsidP="00DF26CD">
            <w:pPr>
              <w:widowControl w:val="0"/>
              <w:ind w:firstLine="0"/>
              <w:jc w:val="center"/>
              <w:rPr>
                <w:rFonts w:cs="Arial"/>
                <w:b/>
                <w:bCs/>
                <w:snapToGrid w:val="0"/>
                <w:sz w:val="24"/>
              </w:rPr>
            </w:pPr>
            <w:r w:rsidRPr="00190574">
              <w:rPr>
                <w:rFonts w:cs="Arial"/>
                <w:b/>
                <w:bCs/>
                <w:snapToGrid w:val="0"/>
                <w:sz w:val="24"/>
              </w:rPr>
              <w:t>Description</w:t>
            </w:r>
          </w:p>
        </w:tc>
        <w:tc>
          <w:tcPr>
            <w:tcW w:w="1260" w:type="dxa"/>
            <w:shd w:val="clear" w:color="auto" w:fill="D6291C"/>
            <w:vAlign w:val="center"/>
          </w:tcPr>
          <w:p w:rsidR="00DF26CD" w:rsidRPr="00190574" w:rsidRDefault="00DF26CD" w:rsidP="00DF26CD">
            <w:pPr>
              <w:widowControl w:val="0"/>
              <w:ind w:firstLine="0"/>
              <w:jc w:val="center"/>
              <w:rPr>
                <w:rFonts w:cs="Arial"/>
                <w:b/>
                <w:bCs/>
                <w:snapToGrid w:val="0"/>
                <w:sz w:val="24"/>
              </w:rPr>
            </w:pPr>
            <w:r w:rsidRPr="00190574">
              <w:rPr>
                <w:rFonts w:cs="Arial"/>
                <w:b/>
                <w:bCs/>
                <w:snapToGrid w:val="0"/>
                <w:sz w:val="24"/>
              </w:rPr>
              <w:t>Emission Factor Units</w:t>
            </w:r>
            <w:r w:rsidRPr="00190574">
              <w:rPr>
                <w:rFonts w:cs="Arial"/>
                <w:b/>
                <w:bCs/>
                <w:snapToGrid w:val="0"/>
                <w:sz w:val="24"/>
                <w:vertAlign w:val="superscript"/>
              </w:rPr>
              <w:t>1</w:t>
            </w:r>
          </w:p>
        </w:tc>
        <w:tc>
          <w:tcPr>
            <w:tcW w:w="900" w:type="dxa"/>
            <w:shd w:val="clear" w:color="auto" w:fill="D6291C"/>
            <w:vAlign w:val="center"/>
          </w:tcPr>
          <w:p w:rsidR="00DF26CD" w:rsidRPr="00190574" w:rsidRDefault="00DF26CD" w:rsidP="00DF26CD">
            <w:pPr>
              <w:widowControl w:val="0"/>
              <w:ind w:firstLine="0"/>
              <w:jc w:val="center"/>
              <w:rPr>
                <w:rFonts w:cs="Arial"/>
                <w:b/>
                <w:bCs/>
                <w:snapToGrid w:val="0"/>
                <w:sz w:val="24"/>
              </w:rPr>
            </w:pPr>
            <w:r w:rsidRPr="00190574">
              <w:rPr>
                <w:rFonts w:cs="Arial"/>
                <w:b/>
                <w:bCs/>
                <w:snapToGrid w:val="0"/>
                <w:sz w:val="24"/>
              </w:rPr>
              <w:t>VOC</w:t>
            </w:r>
          </w:p>
        </w:tc>
        <w:tc>
          <w:tcPr>
            <w:tcW w:w="900" w:type="dxa"/>
            <w:shd w:val="clear" w:color="auto" w:fill="D6291C"/>
            <w:vAlign w:val="center"/>
          </w:tcPr>
          <w:p w:rsidR="00DF26CD" w:rsidRPr="00190574" w:rsidRDefault="00DF26CD" w:rsidP="00DF26CD">
            <w:pPr>
              <w:widowControl w:val="0"/>
              <w:ind w:firstLine="0"/>
              <w:jc w:val="center"/>
              <w:rPr>
                <w:rFonts w:cs="Arial"/>
                <w:b/>
                <w:bCs/>
                <w:snapToGrid w:val="0"/>
                <w:sz w:val="24"/>
              </w:rPr>
            </w:pPr>
            <w:r w:rsidRPr="00190574">
              <w:rPr>
                <w:rFonts w:cs="Arial"/>
                <w:b/>
                <w:bCs/>
                <w:snapToGrid w:val="0"/>
                <w:sz w:val="24"/>
              </w:rPr>
              <w:t>NO</w:t>
            </w:r>
            <w:r w:rsidRPr="00190574">
              <w:rPr>
                <w:rFonts w:cs="Arial"/>
                <w:b/>
                <w:bCs/>
                <w:snapToGrid w:val="0"/>
                <w:sz w:val="24"/>
                <w:vertAlign w:val="subscript"/>
              </w:rPr>
              <w:t>x</w:t>
            </w:r>
          </w:p>
        </w:tc>
        <w:tc>
          <w:tcPr>
            <w:tcW w:w="900" w:type="dxa"/>
            <w:shd w:val="clear" w:color="auto" w:fill="D6291C"/>
            <w:vAlign w:val="center"/>
          </w:tcPr>
          <w:p w:rsidR="00DF26CD" w:rsidRPr="00190574" w:rsidRDefault="00DF26CD" w:rsidP="00DF26CD">
            <w:pPr>
              <w:widowControl w:val="0"/>
              <w:ind w:firstLine="0"/>
              <w:jc w:val="center"/>
              <w:rPr>
                <w:rFonts w:cs="Arial"/>
                <w:b/>
                <w:bCs/>
                <w:snapToGrid w:val="0"/>
                <w:sz w:val="24"/>
              </w:rPr>
            </w:pPr>
            <w:r w:rsidRPr="00190574">
              <w:rPr>
                <w:rFonts w:cs="Arial"/>
                <w:b/>
                <w:bCs/>
                <w:snapToGrid w:val="0"/>
                <w:sz w:val="24"/>
              </w:rPr>
              <w:t>CO</w:t>
            </w:r>
          </w:p>
        </w:tc>
        <w:tc>
          <w:tcPr>
            <w:tcW w:w="1080" w:type="dxa"/>
            <w:shd w:val="clear" w:color="auto" w:fill="D6291C"/>
            <w:vAlign w:val="center"/>
          </w:tcPr>
          <w:p w:rsidR="00DF26CD" w:rsidRPr="00190574" w:rsidRDefault="00DF26CD" w:rsidP="00DF26CD">
            <w:pPr>
              <w:widowControl w:val="0"/>
              <w:ind w:firstLine="0"/>
              <w:jc w:val="center"/>
              <w:rPr>
                <w:rFonts w:cs="Arial"/>
                <w:b/>
                <w:bCs/>
                <w:snapToGrid w:val="0"/>
                <w:sz w:val="24"/>
              </w:rPr>
            </w:pPr>
            <w:r w:rsidRPr="00190574">
              <w:rPr>
                <w:rFonts w:cs="Arial"/>
                <w:b/>
                <w:bCs/>
                <w:snapToGrid w:val="0"/>
                <w:sz w:val="24"/>
              </w:rPr>
              <w:t>SO</w:t>
            </w:r>
            <w:r w:rsidRPr="00190574">
              <w:rPr>
                <w:rFonts w:cs="Arial"/>
                <w:b/>
                <w:bCs/>
                <w:snapToGrid w:val="0"/>
                <w:sz w:val="24"/>
                <w:vertAlign w:val="subscript"/>
              </w:rPr>
              <w:t>2</w:t>
            </w:r>
          </w:p>
        </w:tc>
        <w:tc>
          <w:tcPr>
            <w:tcW w:w="1260" w:type="dxa"/>
            <w:shd w:val="clear" w:color="auto" w:fill="D6291C"/>
            <w:vAlign w:val="center"/>
          </w:tcPr>
          <w:p w:rsidR="00DF26CD" w:rsidRPr="00190574" w:rsidRDefault="00DF26CD" w:rsidP="00DF26CD">
            <w:pPr>
              <w:widowControl w:val="0"/>
              <w:ind w:firstLine="0"/>
              <w:jc w:val="center"/>
              <w:rPr>
                <w:rFonts w:cs="Arial"/>
                <w:b/>
                <w:bCs/>
                <w:snapToGrid w:val="0"/>
                <w:sz w:val="24"/>
              </w:rPr>
            </w:pPr>
            <w:r w:rsidRPr="00190574">
              <w:rPr>
                <w:rFonts w:cs="Arial"/>
                <w:b/>
                <w:bCs/>
                <w:snapToGrid w:val="0"/>
                <w:sz w:val="24"/>
              </w:rPr>
              <w:t>PM2.5-FIL</w:t>
            </w:r>
          </w:p>
        </w:tc>
        <w:tc>
          <w:tcPr>
            <w:tcW w:w="1246" w:type="dxa"/>
            <w:shd w:val="clear" w:color="auto" w:fill="D6291C"/>
            <w:vAlign w:val="center"/>
          </w:tcPr>
          <w:p w:rsidR="00DF26CD" w:rsidRPr="00190574" w:rsidRDefault="00DF26CD" w:rsidP="00DF26CD">
            <w:pPr>
              <w:widowControl w:val="0"/>
              <w:ind w:firstLine="0"/>
              <w:jc w:val="center"/>
              <w:rPr>
                <w:rFonts w:cs="Arial"/>
                <w:b/>
                <w:bCs/>
                <w:snapToGrid w:val="0"/>
                <w:sz w:val="24"/>
              </w:rPr>
            </w:pPr>
            <w:r w:rsidRPr="00190574">
              <w:rPr>
                <w:rFonts w:cs="Arial"/>
                <w:b/>
                <w:bCs/>
                <w:snapToGrid w:val="0"/>
                <w:sz w:val="24"/>
              </w:rPr>
              <w:t>PM10-FIL</w:t>
            </w:r>
          </w:p>
        </w:tc>
        <w:tc>
          <w:tcPr>
            <w:tcW w:w="1094" w:type="dxa"/>
            <w:shd w:val="clear" w:color="auto" w:fill="D6291C"/>
            <w:vAlign w:val="center"/>
          </w:tcPr>
          <w:p w:rsidR="00DF26CD" w:rsidRPr="00190574" w:rsidRDefault="00DF26CD" w:rsidP="00DF26CD">
            <w:pPr>
              <w:widowControl w:val="0"/>
              <w:ind w:firstLine="0"/>
              <w:jc w:val="center"/>
              <w:rPr>
                <w:rFonts w:cs="Arial"/>
                <w:b/>
                <w:bCs/>
                <w:snapToGrid w:val="0"/>
                <w:sz w:val="24"/>
              </w:rPr>
            </w:pPr>
            <w:r w:rsidRPr="00190574">
              <w:rPr>
                <w:rFonts w:cs="Arial"/>
                <w:b/>
                <w:bCs/>
                <w:snapToGrid w:val="0"/>
                <w:sz w:val="24"/>
              </w:rPr>
              <w:t>PM-CON</w:t>
            </w:r>
          </w:p>
        </w:tc>
        <w:tc>
          <w:tcPr>
            <w:tcW w:w="900" w:type="dxa"/>
            <w:shd w:val="clear" w:color="auto" w:fill="D6291C"/>
            <w:vAlign w:val="center"/>
          </w:tcPr>
          <w:p w:rsidR="00DF26CD" w:rsidRPr="00190574" w:rsidRDefault="00DF26CD" w:rsidP="00DF26CD">
            <w:pPr>
              <w:widowControl w:val="0"/>
              <w:ind w:firstLine="0"/>
              <w:jc w:val="center"/>
              <w:rPr>
                <w:rFonts w:cs="Arial"/>
                <w:b/>
                <w:bCs/>
                <w:snapToGrid w:val="0"/>
                <w:sz w:val="24"/>
              </w:rPr>
            </w:pPr>
            <w:r w:rsidRPr="00190574">
              <w:rPr>
                <w:rFonts w:cs="Arial"/>
                <w:b/>
                <w:bCs/>
                <w:snapToGrid w:val="0"/>
                <w:sz w:val="24"/>
              </w:rPr>
              <w:t>NH</w:t>
            </w:r>
            <w:r w:rsidRPr="00190574">
              <w:rPr>
                <w:rFonts w:cs="Arial"/>
                <w:b/>
                <w:bCs/>
                <w:snapToGrid w:val="0"/>
                <w:sz w:val="24"/>
                <w:vertAlign w:val="subscript"/>
              </w:rPr>
              <w:t>3</w:t>
            </w:r>
          </w:p>
        </w:tc>
      </w:tr>
      <w:tr w:rsidR="00190574" w:rsidRPr="00190574" w:rsidTr="007C62D2">
        <w:trPr>
          <w:jc w:val="center"/>
        </w:trPr>
        <w:tc>
          <w:tcPr>
            <w:tcW w:w="1067" w:type="dxa"/>
            <w:vAlign w:val="center"/>
          </w:tcPr>
          <w:p w:rsidR="00DF26CD" w:rsidRPr="00190574" w:rsidRDefault="00DF26CD" w:rsidP="00DF26CD">
            <w:pPr>
              <w:widowControl w:val="0"/>
              <w:ind w:firstLine="0"/>
              <w:jc w:val="center"/>
              <w:rPr>
                <w:rFonts w:cs="Arial"/>
                <w:bCs/>
                <w:snapToGrid w:val="0"/>
                <w:sz w:val="24"/>
              </w:rPr>
            </w:pPr>
            <w:r w:rsidRPr="00190574">
              <w:rPr>
                <w:rFonts w:cs="Arial"/>
                <w:bCs/>
                <w:snapToGrid w:val="0"/>
                <w:sz w:val="24"/>
              </w:rPr>
              <w:t>2102001000</w:t>
            </w:r>
          </w:p>
        </w:tc>
        <w:tc>
          <w:tcPr>
            <w:tcW w:w="2742" w:type="dxa"/>
            <w:vAlign w:val="center"/>
          </w:tcPr>
          <w:p w:rsidR="00DF26CD" w:rsidRPr="00190574" w:rsidRDefault="00DF26CD" w:rsidP="00DF26CD">
            <w:pPr>
              <w:widowControl w:val="0"/>
              <w:ind w:firstLine="0"/>
              <w:jc w:val="center"/>
              <w:rPr>
                <w:rFonts w:cs="Arial"/>
                <w:bCs/>
                <w:snapToGrid w:val="0"/>
                <w:sz w:val="24"/>
              </w:rPr>
            </w:pPr>
            <w:r w:rsidRPr="00190574">
              <w:rPr>
                <w:rFonts w:cs="Arial"/>
                <w:bCs/>
                <w:snapToGrid w:val="0"/>
                <w:sz w:val="24"/>
              </w:rPr>
              <w:t>Industrial Anthracite Coal</w:t>
            </w:r>
          </w:p>
        </w:tc>
        <w:tc>
          <w:tcPr>
            <w:tcW w:w="1260" w:type="dxa"/>
            <w:vAlign w:val="center"/>
          </w:tcPr>
          <w:p w:rsidR="00DF26CD" w:rsidRPr="00190574" w:rsidRDefault="00DF26CD" w:rsidP="00DF26CD">
            <w:pPr>
              <w:widowControl w:val="0"/>
              <w:ind w:firstLine="0"/>
              <w:jc w:val="center"/>
              <w:rPr>
                <w:rFonts w:cs="Arial"/>
                <w:bCs/>
                <w:snapToGrid w:val="0"/>
                <w:sz w:val="24"/>
              </w:rPr>
            </w:pPr>
            <w:r w:rsidRPr="00190574">
              <w:rPr>
                <w:rFonts w:cs="Arial"/>
                <w:bCs/>
                <w:snapToGrid w:val="0"/>
                <w:sz w:val="24"/>
              </w:rPr>
              <w:t>lb/ton</w:t>
            </w:r>
          </w:p>
        </w:tc>
        <w:tc>
          <w:tcPr>
            <w:tcW w:w="90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0.3</w:t>
            </w:r>
          </w:p>
        </w:tc>
        <w:tc>
          <w:tcPr>
            <w:tcW w:w="90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9</w:t>
            </w:r>
          </w:p>
        </w:tc>
        <w:tc>
          <w:tcPr>
            <w:tcW w:w="90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0.6</w:t>
            </w:r>
          </w:p>
        </w:tc>
        <w:tc>
          <w:tcPr>
            <w:tcW w:w="108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39 * S%</w:t>
            </w:r>
          </w:p>
        </w:tc>
        <w:tc>
          <w:tcPr>
            <w:tcW w:w="126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0.48 * A%</w:t>
            </w:r>
          </w:p>
        </w:tc>
        <w:tc>
          <w:tcPr>
            <w:tcW w:w="1246"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1.1 * A%</w:t>
            </w:r>
          </w:p>
        </w:tc>
        <w:tc>
          <w:tcPr>
            <w:tcW w:w="1094"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0.08*A%</w:t>
            </w:r>
          </w:p>
        </w:tc>
        <w:tc>
          <w:tcPr>
            <w:tcW w:w="90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0.03</w:t>
            </w:r>
          </w:p>
        </w:tc>
      </w:tr>
      <w:tr w:rsidR="00190574" w:rsidRPr="00190574" w:rsidTr="007C62D2">
        <w:trPr>
          <w:jc w:val="center"/>
        </w:trPr>
        <w:tc>
          <w:tcPr>
            <w:tcW w:w="1067" w:type="dxa"/>
            <w:vAlign w:val="center"/>
          </w:tcPr>
          <w:p w:rsidR="00DF26CD" w:rsidRPr="00190574" w:rsidRDefault="00DF26CD" w:rsidP="00DF26CD">
            <w:pPr>
              <w:widowControl w:val="0"/>
              <w:ind w:firstLine="0"/>
              <w:jc w:val="center"/>
              <w:rPr>
                <w:rFonts w:cs="Arial"/>
                <w:bCs/>
                <w:snapToGrid w:val="0"/>
                <w:sz w:val="24"/>
              </w:rPr>
            </w:pPr>
            <w:r w:rsidRPr="00190574">
              <w:rPr>
                <w:rFonts w:cs="Arial"/>
                <w:bCs/>
                <w:snapToGrid w:val="0"/>
                <w:sz w:val="24"/>
              </w:rPr>
              <w:t>2102002000</w:t>
            </w:r>
          </w:p>
        </w:tc>
        <w:tc>
          <w:tcPr>
            <w:tcW w:w="2742" w:type="dxa"/>
            <w:vAlign w:val="center"/>
          </w:tcPr>
          <w:p w:rsidR="00DF26CD" w:rsidRPr="00190574" w:rsidRDefault="00DF26CD" w:rsidP="00DF26CD">
            <w:pPr>
              <w:widowControl w:val="0"/>
              <w:ind w:firstLine="0"/>
              <w:jc w:val="center"/>
              <w:rPr>
                <w:rFonts w:cs="Arial"/>
                <w:bCs/>
                <w:snapToGrid w:val="0"/>
                <w:sz w:val="24"/>
              </w:rPr>
            </w:pPr>
            <w:r w:rsidRPr="00190574">
              <w:rPr>
                <w:rFonts w:cs="Arial"/>
                <w:bCs/>
                <w:snapToGrid w:val="0"/>
                <w:sz w:val="24"/>
              </w:rPr>
              <w:t>Industrial Bitum/Subbitum Coal</w:t>
            </w:r>
          </w:p>
        </w:tc>
        <w:tc>
          <w:tcPr>
            <w:tcW w:w="1260" w:type="dxa"/>
            <w:vAlign w:val="center"/>
          </w:tcPr>
          <w:p w:rsidR="00DF26CD" w:rsidRPr="00190574" w:rsidRDefault="00DF26CD" w:rsidP="00DF26CD">
            <w:pPr>
              <w:widowControl w:val="0"/>
              <w:ind w:firstLine="0"/>
              <w:jc w:val="center"/>
              <w:rPr>
                <w:rFonts w:cs="Arial"/>
                <w:bCs/>
                <w:snapToGrid w:val="0"/>
                <w:sz w:val="24"/>
              </w:rPr>
            </w:pPr>
            <w:r w:rsidRPr="00190574">
              <w:rPr>
                <w:rFonts w:cs="Arial"/>
                <w:bCs/>
                <w:snapToGrid w:val="0"/>
                <w:sz w:val="24"/>
              </w:rPr>
              <w:t>lb/ton</w:t>
            </w:r>
          </w:p>
        </w:tc>
        <w:tc>
          <w:tcPr>
            <w:tcW w:w="90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0.05</w:t>
            </w:r>
          </w:p>
        </w:tc>
        <w:tc>
          <w:tcPr>
            <w:tcW w:w="90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11</w:t>
            </w:r>
          </w:p>
        </w:tc>
        <w:tc>
          <w:tcPr>
            <w:tcW w:w="90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5</w:t>
            </w:r>
          </w:p>
        </w:tc>
        <w:tc>
          <w:tcPr>
            <w:tcW w:w="108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38 * S%</w:t>
            </w:r>
          </w:p>
        </w:tc>
        <w:tc>
          <w:tcPr>
            <w:tcW w:w="126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1.4</w:t>
            </w:r>
          </w:p>
        </w:tc>
        <w:tc>
          <w:tcPr>
            <w:tcW w:w="1246"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12</w:t>
            </w:r>
          </w:p>
        </w:tc>
        <w:tc>
          <w:tcPr>
            <w:tcW w:w="1094"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1.04</w:t>
            </w:r>
          </w:p>
        </w:tc>
        <w:tc>
          <w:tcPr>
            <w:tcW w:w="90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0.03</w:t>
            </w:r>
          </w:p>
        </w:tc>
      </w:tr>
      <w:tr w:rsidR="00190574" w:rsidRPr="00190574" w:rsidTr="007C62D2">
        <w:trPr>
          <w:jc w:val="center"/>
        </w:trPr>
        <w:tc>
          <w:tcPr>
            <w:tcW w:w="1067" w:type="dxa"/>
            <w:vAlign w:val="center"/>
          </w:tcPr>
          <w:p w:rsidR="00DF26CD" w:rsidRPr="00190574" w:rsidRDefault="00744C67" w:rsidP="00DF26CD">
            <w:pPr>
              <w:widowControl w:val="0"/>
              <w:ind w:firstLine="0"/>
              <w:jc w:val="center"/>
              <w:rPr>
                <w:rFonts w:cs="Arial"/>
                <w:bCs/>
                <w:snapToGrid w:val="0"/>
                <w:sz w:val="24"/>
              </w:rPr>
            </w:pPr>
            <w:r w:rsidRPr="00190574">
              <w:rPr>
                <w:rFonts w:cs="Arial"/>
                <w:bCs/>
                <w:snapToGrid w:val="0"/>
                <w:sz w:val="24"/>
              </w:rPr>
              <w:t>2102004001</w:t>
            </w:r>
          </w:p>
        </w:tc>
        <w:tc>
          <w:tcPr>
            <w:tcW w:w="2742" w:type="dxa"/>
            <w:vAlign w:val="center"/>
          </w:tcPr>
          <w:p w:rsidR="00DF26CD" w:rsidRPr="00190574" w:rsidRDefault="00744C67" w:rsidP="00DF26CD">
            <w:pPr>
              <w:widowControl w:val="0"/>
              <w:ind w:firstLine="0"/>
              <w:jc w:val="center"/>
              <w:rPr>
                <w:rFonts w:cs="Arial"/>
                <w:bCs/>
                <w:snapToGrid w:val="0"/>
                <w:sz w:val="24"/>
              </w:rPr>
            </w:pPr>
            <w:r w:rsidRPr="00190574">
              <w:rPr>
                <w:rFonts w:cs="Arial"/>
                <w:bCs/>
                <w:snapToGrid w:val="0"/>
                <w:sz w:val="24"/>
              </w:rPr>
              <w:t>Industrial Distillate Boilers</w:t>
            </w:r>
          </w:p>
        </w:tc>
        <w:tc>
          <w:tcPr>
            <w:tcW w:w="1260" w:type="dxa"/>
            <w:vAlign w:val="center"/>
          </w:tcPr>
          <w:p w:rsidR="00DF26CD" w:rsidRPr="00190574" w:rsidRDefault="00DF26CD" w:rsidP="00DF26CD">
            <w:pPr>
              <w:widowControl w:val="0"/>
              <w:ind w:firstLine="0"/>
              <w:jc w:val="center"/>
              <w:rPr>
                <w:rFonts w:cs="Arial"/>
                <w:bCs/>
                <w:snapToGrid w:val="0"/>
                <w:sz w:val="24"/>
              </w:rPr>
            </w:pPr>
            <w:r w:rsidRPr="00190574">
              <w:rPr>
                <w:rFonts w:cs="Arial"/>
                <w:bCs/>
                <w:snapToGrid w:val="0"/>
                <w:sz w:val="24"/>
              </w:rPr>
              <w:t>lb/1000 gal</w:t>
            </w:r>
          </w:p>
        </w:tc>
        <w:tc>
          <w:tcPr>
            <w:tcW w:w="90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0.2</w:t>
            </w:r>
          </w:p>
        </w:tc>
        <w:tc>
          <w:tcPr>
            <w:tcW w:w="90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20</w:t>
            </w:r>
          </w:p>
        </w:tc>
        <w:tc>
          <w:tcPr>
            <w:tcW w:w="90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5</w:t>
            </w:r>
          </w:p>
        </w:tc>
        <w:tc>
          <w:tcPr>
            <w:tcW w:w="108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142 * S%</w:t>
            </w:r>
          </w:p>
        </w:tc>
        <w:tc>
          <w:tcPr>
            <w:tcW w:w="126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0.25</w:t>
            </w:r>
          </w:p>
        </w:tc>
        <w:tc>
          <w:tcPr>
            <w:tcW w:w="1246"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1</w:t>
            </w:r>
          </w:p>
        </w:tc>
        <w:tc>
          <w:tcPr>
            <w:tcW w:w="1094"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1.3</w:t>
            </w:r>
          </w:p>
        </w:tc>
        <w:tc>
          <w:tcPr>
            <w:tcW w:w="900" w:type="dxa"/>
            <w:vAlign w:val="center"/>
          </w:tcPr>
          <w:p w:rsidR="00DF26CD" w:rsidRPr="00190574" w:rsidRDefault="00DF26CD" w:rsidP="00DF26CD">
            <w:pPr>
              <w:widowControl w:val="0"/>
              <w:ind w:right="144" w:firstLine="0"/>
              <w:jc w:val="right"/>
              <w:rPr>
                <w:rFonts w:cs="Arial"/>
                <w:bCs/>
                <w:snapToGrid w:val="0"/>
                <w:sz w:val="24"/>
              </w:rPr>
            </w:pPr>
            <w:r w:rsidRPr="00190574">
              <w:rPr>
                <w:rFonts w:cs="Arial"/>
                <w:bCs/>
                <w:snapToGrid w:val="0"/>
                <w:sz w:val="24"/>
              </w:rPr>
              <w:t>0.8</w:t>
            </w:r>
          </w:p>
        </w:tc>
      </w:tr>
      <w:tr w:rsidR="00190574" w:rsidRPr="00190574" w:rsidTr="007C62D2">
        <w:trPr>
          <w:jc w:val="center"/>
        </w:trPr>
        <w:tc>
          <w:tcPr>
            <w:tcW w:w="1067" w:type="dxa"/>
            <w:vAlign w:val="center"/>
          </w:tcPr>
          <w:p w:rsidR="00744C67" w:rsidRPr="00190574" w:rsidRDefault="00744C67" w:rsidP="00C073A1">
            <w:pPr>
              <w:widowControl w:val="0"/>
              <w:ind w:firstLine="0"/>
              <w:jc w:val="center"/>
              <w:rPr>
                <w:rFonts w:cs="Arial"/>
                <w:bCs/>
                <w:snapToGrid w:val="0"/>
                <w:sz w:val="24"/>
              </w:rPr>
            </w:pPr>
            <w:r w:rsidRPr="00190574">
              <w:rPr>
                <w:rFonts w:cs="Arial"/>
                <w:bCs/>
                <w:snapToGrid w:val="0"/>
                <w:sz w:val="24"/>
              </w:rPr>
              <w:t>2102004002</w:t>
            </w:r>
          </w:p>
        </w:tc>
        <w:tc>
          <w:tcPr>
            <w:tcW w:w="2742" w:type="dxa"/>
            <w:vAlign w:val="center"/>
          </w:tcPr>
          <w:p w:rsidR="00744C67" w:rsidRPr="00190574" w:rsidRDefault="00744C67" w:rsidP="00744C67">
            <w:pPr>
              <w:widowControl w:val="0"/>
              <w:ind w:firstLine="0"/>
              <w:jc w:val="center"/>
              <w:rPr>
                <w:rFonts w:cs="Arial"/>
                <w:bCs/>
                <w:snapToGrid w:val="0"/>
                <w:sz w:val="24"/>
              </w:rPr>
            </w:pPr>
            <w:r w:rsidRPr="00190574">
              <w:rPr>
                <w:rFonts w:cs="Arial"/>
                <w:bCs/>
                <w:snapToGrid w:val="0"/>
                <w:sz w:val="24"/>
              </w:rPr>
              <w:t>Industrial Distillate IC Engines</w:t>
            </w:r>
          </w:p>
        </w:tc>
        <w:tc>
          <w:tcPr>
            <w:tcW w:w="1260" w:type="dxa"/>
            <w:vAlign w:val="center"/>
          </w:tcPr>
          <w:p w:rsidR="00744C67" w:rsidRPr="00190574" w:rsidRDefault="00744C67" w:rsidP="00C073A1">
            <w:pPr>
              <w:widowControl w:val="0"/>
              <w:ind w:firstLine="0"/>
              <w:jc w:val="center"/>
              <w:rPr>
                <w:rFonts w:cs="Arial"/>
                <w:bCs/>
                <w:snapToGrid w:val="0"/>
                <w:sz w:val="24"/>
              </w:rPr>
            </w:pPr>
            <w:r w:rsidRPr="00190574">
              <w:rPr>
                <w:rFonts w:cs="Arial"/>
                <w:bCs/>
                <w:snapToGrid w:val="0"/>
                <w:sz w:val="24"/>
              </w:rPr>
              <w:t>lb/1000 gal</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42</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604</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130</w:t>
            </w:r>
          </w:p>
        </w:tc>
        <w:tc>
          <w:tcPr>
            <w:tcW w:w="1080" w:type="dxa"/>
            <w:vAlign w:val="center"/>
          </w:tcPr>
          <w:p w:rsidR="00744C67" w:rsidRPr="00190574" w:rsidRDefault="006A7973" w:rsidP="00DF26CD">
            <w:pPr>
              <w:widowControl w:val="0"/>
              <w:ind w:right="144" w:firstLine="0"/>
              <w:jc w:val="right"/>
              <w:rPr>
                <w:rFonts w:cs="Arial"/>
                <w:bCs/>
                <w:snapToGrid w:val="0"/>
                <w:sz w:val="24"/>
              </w:rPr>
            </w:pPr>
            <w:r w:rsidRPr="00190574">
              <w:rPr>
                <w:rFonts w:cs="Arial"/>
                <w:bCs/>
                <w:snapToGrid w:val="0"/>
                <w:sz w:val="24"/>
              </w:rPr>
              <w:t>39.8</w:t>
            </w:r>
          </w:p>
        </w:tc>
        <w:tc>
          <w:tcPr>
            <w:tcW w:w="126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39.8</w:t>
            </w:r>
          </w:p>
        </w:tc>
        <w:tc>
          <w:tcPr>
            <w:tcW w:w="1246"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42.5</w:t>
            </w:r>
          </w:p>
        </w:tc>
        <w:tc>
          <w:tcPr>
            <w:tcW w:w="1094"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0.8</w:t>
            </w:r>
          </w:p>
        </w:tc>
      </w:tr>
      <w:tr w:rsidR="00190574" w:rsidRPr="00190574" w:rsidTr="007C62D2">
        <w:trPr>
          <w:jc w:val="center"/>
        </w:trPr>
        <w:tc>
          <w:tcPr>
            <w:tcW w:w="1067"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2102005000</w:t>
            </w:r>
          </w:p>
        </w:tc>
        <w:tc>
          <w:tcPr>
            <w:tcW w:w="2742"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Industrial Residual Oil</w:t>
            </w:r>
          </w:p>
        </w:tc>
        <w:tc>
          <w:tcPr>
            <w:tcW w:w="1260"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lb/1000 gal</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0.28</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55</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5</w:t>
            </w:r>
          </w:p>
        </w:tc>
        <w:tc>
          <w:tcPr>
            <w:tcW w:w="108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157 * S%</w:t>
            </w:r>
          </w:p>
        </w:tc>
        <w:tc>
          <w:tcPr>
            <w:tcW w:w="126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4.67 * (1.12 * S% + 0.37)</w:t>
            </w:r>
          </w:p>
        </w:tc>
        <w:tc>
          <w:tcPr>
            <w:tcW w:w="1246"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7.17 * (1.12 * S% + 0.37)</w:t>
            </w:r>
          </w:p>
        </w:tc>
        <w:tc>
          <w:tcPr>
            <w:tcW w:w="1094"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1.5</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0.8</w:t>
            </w:r>
          </w:p>
        </w:tc>
      </w:tr>
      <w:tr w:rsidR="00190574" w:rsidRPr="00190574" w:rsidTr="007C62D2">
        <w:trPr>
          <w:jc w:val="center"/>
        </w:trPr>
        <w:tc>
          <w:tcPr>
            <w:tcW w:w="1067"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2102006000</w:t>
            </w:r>
          </w:p>
        </w:tc>
        <w:tc>
          <w:tcPr>
            <w:tcW w:w="2742"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Industrial Natural Gas</w:t>
            </w:r>
          </w:p>
        </w:tc>
        <w:tc>
          <w:tcPr>
            <w:tcW w:w="1260"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lb/MMcf</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5.5</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100</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84</w:t>
            </w:r>
          </w:p>
        </w:tc>
        <w:tc>
          <w:tcPr>
            <w:tcW w:w="108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0.6</w:t>
            </w:r>
          </w:p>
        </w:tc>
        <w:tc>
          <w:tcPr>
            <w:tcW w:w="126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0.11</w:t>
            </w:r>
          </w:p>
        </w:tc>
        <w:tc>
          <w:tcPr>
            <w:tcW w:w="1246"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0.2</w:t>
            </w:r>
          </w:p>
        </w:tc>
        <w:tc>
          <w:tcPr>
            <w:tcW w:w="1094"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0.32</w:t>
            </w:r>
            <w:r w:rsidRPr="00190574">
              <w:rPr>
                <w:rFonts w:cs="Arial"/>
                <w:bCs/>
                <w:snapToGrid w:val="0"/>
                <w:sz w:val="24"/>
                <w:vertAlign w:val="superscript"/>
              </w:rPr>
              <w:t>2</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3.2</w:t>
            </w:r>
          </w:p>
        </w:tc>
      </w:tr>
      <w:tr w:rsidR="00190574" w:rsidRPr="00190574" w:rsidTr="007C62D2">
        <w:trPr>
          <w:jc w:val="center"/>
        </w:trPr>
        <w:tc>
          <w:tcPr>
            <w:tcW w:w="1067"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2102007000</w:t>
            </w:r>
          </w:p>
        </w:tc>
        <w:tc>
          <w:tcPr>
            <w:tcW w:w="2742"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 xml:space="preserve">Industrial LPG </w:t>
            </w:r>
            <w:r w:rsidRPr="00190574">
              <w:rPr>
                <w:rFonts w:cs="Arial"/>
                <w:bCs/>
                <w:snapToGrid w:val="0"/>
                <w:sz w:val="24"/>
                <w:vertAlign w:val="superscript"/>
              </w:rPr>
              <w:t>3</w:t>
            </w:r>
          </w:p>
        </w:tc>
        <w:tc>
          <w:tcPr>
            <w:tcW w:w="1260"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lb/1000 gal</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0.52</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14.23</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7.97</w:t>
            </w:r>
          </w:p>
        </w:tc>
        <w:tc>
          <w:tcPr>
            <w:tcW w:w="108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0.06</w:t>
            </w:r>
          </w:p>
        </w:tc>
        <w:tc>
          <w:tcPr>
            <w:tcW w:w="126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0.01</w:t>
            </w:r>
          </w:p>
        </w:tc>
        <w:tc>
          <w:tcPr>
            <w:tcW w:w="1246"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0.02</w:t>
            </w:r>
          </w:p>
        </w:tc>
        <w:tc>
          <w:tcPr>
            <w:tcW w:w="1094"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0.03</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0.3</w:t>
            </w:r>
            <w:r w:rsidRPr="00190574">
              <w:rPr>
                <w:rFonts w:cs="Arial"/>
                <w:bCs/>
                <w:snapToGrid w:val="0"/>
                <w:sz w:val="24"/>
                <w:vertAlign w:val="superscript"/>
              </w:rPr>
              <w:t>4</w:t>
            </w:r>
          </w:p>
        </w:tc>
      </w:tr>
      <w:tr w:rsidR="00190574" w:rsidRPr="00190574" w:rsidTr="007C62D2">
        <w:trPr>
          <w:jc w:val="center"/>
        </w:trPr>
        <w:tc>
          <w:tcPr>
            <w:tcW w:w="1067"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2102008000</w:t>
            </w:r>
          </w:p>
        </w:tc>
        <w:tc>
          <w:tcPr>
            <w:tcW w:w="2742"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 xml:space="preserve">Industrial Wood </w:t>
            </w:r>
            <w:r w:rsidRPr="00190574">
              <w:rPr>
                <w:rFonts w:cs="Arial"/>
                <w:bCs/>
                <w:snapToGrid w:val="0"/>
                <w:sz w:val="24"/>
                <w:vertAlign w:val="superscript"/>
              </w:rPr>
              <w:t>5</w:t>
            </w:r>
          </w:p>
        </w:tc>
        <w:tc>
          <w:tcPr>
            <w:tcW w:w="1260"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lb/MMBtu</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0.017</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0.22</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0.6</w:t>
            </w:r>
          </w:p>
        </w:tc>
        <w:tc>
          <w:tcPr>
            <w:tcW w:w="108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0.025</w:t>
            </w:r>
          </w:p>
        </w:tc>
        <w:tc>
          <w:tcPr>
            <w:tcW w:w="126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0.43</w:t>
            </w:r>
          </w:p>
        </w:tc>
        <w:tc>
          <w:tcPr>
            <w:tcW w:w="1246"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0.5</w:t>
            </w:r>
          </w:p>
        </w:tc>
        <w:tc>
          <w:tcPr>
            <w:tcW w:w="1094"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0.017</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 xml:space="preserve"> 0.007</w:t>
            </w:r>
            <w:r w:rsidRPr="00190574">
              <w:rPr>
                <w:rFonts w:cs="Arial"/>
                <w:bCs/>
                <w:snapToGrid w:val="0"/>
                <w:sz w:val="24"/>
                <w:vertAlign w:val="superscript"/>
              </w:rPr>
              <w:t>6</w:t>
            </w:r>
          </w:p>
        </w:tc>
      </w:tr>
      <w:tr w:rsidR="00190574" w:rsidRPr="00190574" w:rsidTr="007C62D2">
        <w:trPr>
          <w:jc w:val="center"/>
        </w:trPr>
        <w:tc>
          <w:tcPr>
            <w:tcW w:w="1067"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2102011000</w:t>
            </w:r>
          </w:p>
        </w:tc>
        <w:tc>
          <w:tcPr>
            <w:tcW w:w="2742"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Industrial Kerosene</w:t>
            </w:r>
          </w:p>
        </w:tc>
        <w:tc>
          <w:tcPr>
            <w:tcW w:w="1260"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lb/1000 gal</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0.19</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19.29</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4.82</w:t>
            </w:r>
          </w:p>
        </w:tc>
        <w:tc>
          <w:tcPr>
            <w:tcW w:w="108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142 * S%</w:t>
            </w:r>
            <w:r w:rsidRPr="00190574">
              <w:rPr>
                <w:rFonts w:cs="Arial"/>
                <w:bCs/>
                <w:snapToGrid w:val="0"/>
                <w:sz w:val="24"/>
                <w:vertAlign w:val="superscript"/>
              </w:rPr>
              <w:t>7</w:t>
            </w:r>
          </w:p>
        </w:tc>
        <w:tc>
          <w:tcPr>
            <w:tcW w:w="126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0.24</w:t>
            </w:r>
          </w:p>
        </w:tc>
        <w:tc>
          <w:tcPr>
            <w:tcW w:w="1246"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0.96</w:t>
            </w:r>
          </w:p>
        </w:tc>
        <w:tc>
          <w:tcPr>
            <w:tcW w:w="1094"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1.25</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0.77</w:t>
            </w:r>
          </w:p>
        </w:tc>
      </w:tr>
      <w:tr w:rsidR="00190574" w:rsidRPr="00190574" w:rsidTr="007C62D2">
        <w:trPr>
          <w:jc w:val="center"/>
        </w:trPr>
        <w:tc>
          <w:tcPr>
            <w:tcW w:w="1067"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2103001000</w:t>
            </w:r>
          </w:p>
        </w:tc>
        <w:tc>
          <w:tcPr>
            <w:tcW w:w="2742"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Comm/Inst Anthracite Coal</w:t>
            </w:r>
          </w:p>
        </w:tc>
        <w:tc>
          <w:tcPr>
            <w:tcW w:w="1260"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lb/ton</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0.3</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9</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0.6</w:t>
            </w:r>
          </w:p>
        </w:tc>
        <w:tc>
          <w:tcPr>
            <w:tcW w:w="108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39 * S%</w:t>
            </w:r>
          </w:p>
        </w:tc>
        <w:tc>
          <w:tcPr>
            <w:tcW w:w="1260" w:type="dxa"/>
            <w:vAlign w:val="center"/>
          </w:tcPr>
          <w:p w:rsidR="00744C67" w:rsidRPr="00190574" w:rsidRDefault="00744C67" w:rsidP="00DF26CD">
            <w:pPr>
              <w:widowControl w:val="0"/>
              <w:ind w:firstLine="0"/>
              <w:jc w:val="right"/>
              <w:rPr>
                <w:rFonts w:cs="Arial"/>
                <w:bCs/>
                <w:snapToGrid w:val="0"/>
                <w:sz w:val="24"/>
              </w:rPr>
            </w:pPr>
            <w:r w:rsidRPr="00190574">
              <w:rPr>
                <w:rFonts w:cs="Arial"/>
                <w:bCs/>
                <w:snapToGrid w:val="0"/>
                <w:sz w:val="24"/>
              </w:rPr>
              <w:t>0.48 * A%</w:t>
            </w:r>
          </w:p>
        </w:tc>
        <w:tc>
          <w:tcPr>
            <w:tcW w:w="1246"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1.1 * A%</w:t>
            </w:r>
          </w:p>
        </w:tc>
        <w:tc>
          <w:tcPr>
            <w:tcW w:w="1094"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0.08 * A%</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0.03</w:t>
            </w:r>
          </w:p>
        </w:tc>
      </w:tr>
      <w:tr w:rsidR="00190574" w:rsidRPr="00190574" w:rsidTr="007C62D2">
        <w:trPr>
          <w:jc w:val="center"/>
        </w:trPr>
        <w:tc>
          <w:tcPr>
            <w:tcW w:w="1067"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2103002000</w:t>
            </w:r>
          </w:p>
        </w:tc>
        <w:tc>
          <w:tcPr>
            <w:tcW w:w="2742"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Comm/Inst Bitum/Subbitum Coal</w:t>
            </w:r>
          </w:p>
        </w:tc>
        <w:tc>
          <w:tcPr>
            <w:tcW w:w="1260"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lb/ton</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0.05</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11</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5</w:t>
            </w:r>
          </w:p>
        </w:tc>
        <w:tc>
          <w:tcPr>
            <w:tcW w:w="108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38 * S%</w:t>
            </w:r>
          </w:p>
        </w:tc>
        <w:tc>
          <w:tcPr>
            <w:tcW w:w="126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1.4</w:t>
            </w:r>
          </w:p>
        </w:tc>
        <w:tc>
          <w:tcPr>
            <w:tcW w:w="1246"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12</w:t>
            </w:r>
          </w:p>
        </w:tc>
        <w:tc>
          <w:tcPr>
            <w:tcW w:w="1094"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1.04</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0.03</w:t>
            </w:r>
          </w:p>
        </w:tc>
      </w:tr>
      <w:tr w:rsidR="00190574" w:rsidRPr="00190574" w:rsidTr="007C62D2">
        <w:trPr>
          <w:jc w:val="center"/>
        </w:trPr>
        <w:tc>
          <w:tcPr>
            <w:tcW w:w="1067"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2103004001</w:t>
            </w:r>
          </w:p>
        </w:tc>
        <w:tc>
          <w:tcPr>
            <w:tcW w:w="2742" w:type="dxa"/>
            <w:vAlign w:val="center"/>
          </w:tcPr>
          <w:p w:rsidR="00744C67" w:rsidRPr="00190574" w:rsidRDefault="00744C67" w:rsidP="00744C67">
            <w:pPr>
              <w:widowControl w:val="0"/>
              <w:ind w:firstLine="0"/>
              <w:jc w:val="center"/>
              <w:rPr>
                <w:rFonts w:cs="Arial"/>
                <w:bCs/>
                <w:snapToGrid w:val="0"/>
                <w:sz w:val="24"/>
              </w:rPr>
            </w:pPr>
            <w:r w:rsidRPr="00190574">
              <w:rPr>
                <w:rFonts w:cs="Arial"/>
                <w:bCs/>
                <w:snapToGrid w:val="0"/>
                <w:sz w:val="24"/>
              </w:rPr>
              <w:t>Comm/Inst Distillate Boilers</w:t>
            </w:r>
          </w:p>
        </w:tc>
        <w:tc>
          <w:tcPr>
            <w:tcW w:w="1260"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lb/1000 gal</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0.34</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20</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5</w:t>
            </w:r>
          </w:p>
        </w:tc>
        <w:tc>
          <w:tcPr>
            <w:tcW w:w="108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142 * S%</w:t>
            </w:r>
          </w:p>
        </w:tc>
        <w:tc>
          <w:tcPr>
            <w:tcW w:w="126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0.83</w:t>
            </w:r>
          </w:p>
        </w:tc>
        <w:tc>
          <w:tcPr>
            <w:tcW w:w="1246"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1.08</w:t>
            </w:r>
          </w:p>
        </w:tc>
        <w:tc>
          <w:tcPr>
            <w:tcW w:w="1094"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1.3</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0.8</w:t>
            </w:r>
          </w:p>
        </w:tc>
      </w:tr>
      <w:tr w:rsidR="00190574" w:rsidRPr="00190574" w:rsidTr="007C62D2">
        <w:trPr>
          <w:jc w:val="center"/>
        </w:trPr>
        <w:tc>
          <w:tcPr>
            <w:tcW w:w="1067"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2103004</w:t>
            </w:r>
            <w:r w:rsidRPr="00190574">
              <w:rPr>
                <w:rFonts w:cs="Arial"/>
                <w:bCs/>
                <w:snapToGrid w:val="0"/>
                <w:sz w:val="24"/>
              </w:rPr>
              <w:lastRenderedPageBreak/>
              <w:t>002</w:t>
            </w:r>
          </w:p>
        </w:tc>
        <w:tc>
          <w:tcPr>
            <w:tcW w:w="2742" w:type="dxa"/>
            <w:vAlign w:val="center"/>
          </w:tcPr>
          <w:p w:rsidR="00744C67" w:rsidRPr="00190574" w:rsidRDefault="00744C67" w:rsidP="00C073A1">
            <w:pPr>
              <w:widowControl w:val="0"/>
              <w:ind w:firstLine="0"/>
              <w:jc w:val="center"/>
              <w:rPr>
                <w:rFonts w:cs="Arial"/>
                <w:bCs/>
                <w:snapToGrid w:val="0"/>
                <w:sz w:val="24"/>
              </w:rPr>
            </w:pPr>
            <w:r w:rsidRPr="00190574">
              <w:rPr>
                <w:rFonts w:cs="Arial"/>
                <w:bCs/>
                <w:snapToGrid w:val="0"/>
                <w:sz w:val="24"/>
              </w:rPr>
              <w:lastRenderedPageBreak/>
              <w:t xml:space="preserve">Comm/Inst Distillate IC </w:t>
            </w:r>
            <w:r w:rsidRPr="00190574">
              <w:rPr>
                <w:rFonts w:cs="Arial"/>
                <w:bCs/>
                <w:snapToGrid w:val="0"/>
                <w:sz w:val="24"/>
              </w:rPr>
              <w:lastRenderedPageBreak/>
              <w:t>Engines</w:t>
            </w:r>
          </w:p>
        </w:tc>
        <w:tc>
          <w:tcPr>
            <w:tcW w:w="1260" w:type="dxa"/>
            <w:vAlign w:val="center"/>
          </w:tcPr>
          <w:p w:rsidR="00744C67" w:rsidRPr="00190574" w:rsidRDefault="00744C67" w:rsidP="00C073A1">
            <w:pPr>
              <w:widowControl w:val="0"/>
              <w:ind w:firstLine="0"/>
              <w:jc w:val="center"/>
              <w:rPr>
                <w:rFonts w:cs="Arial"/>
                <w:bCs/>
                <w:snapToGrid w:val="0"/>
                <w:sz w:val="24"/>
              </w:rPr>
            </w:pPr>
            <w:r w:rsidRPr="00190574">
              <w:rPr>
                <w:rFonts w:cs="Arial"/>
                <w:bCs/>
                <w:snapToGrid w:val="0"/>
                <w:sz w:val="24"/>
              </w:rPr>
              <w:lastRenderedPageBreak/>
              <w:t>lb/1000 gal</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42</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604</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130</w:t>
            </w:r>
          </w:p>
        </w:tc>
        <w:tc>
          <w:tcPr>
            <w:tcW w:w="1080" w:type="dxa"/>
            <w:vAlign w:val="center"/>
          </w:tcPr>
          <w:p w:rsidR="00744C67" w:rsidRPr="00190574" w:rsidRDefault="006A7973" w:rsidP="00DF26CD">
            <w:pPr>
              <w:widowControl w:val="0"/>
              <w:ind w:right="144" w:firstLine="0"/>
              <w:jc w:val="right"/>
              <w:rPr>
                <w:rFonts w:cs="Arial"/>
                <w:bCs/>
                <w:snapToGrid w:val="0"/>
                <w:sz w:val="24"/>
              </w:rPr>
            </w:pPr>
            <w:r w:rsidRPr="00190574">
              <w:rPr>
                <w:rFonts w:cs="Arial"/>
                <w:bCs/>
                <w:snapToGrid w:val="0"/>
                <w:sz w:val="24"/>
              </w:rPr>
              <w:t>39.8</w:t>
            </w:r>
          </w:p>
        </w:tc>
        <w:tc>
          <w:tcPr>
            <w:tcW w:w="126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42.5</w:t>
            </w:r>
          </w:p>
        </w:tc>
        <w:tc>
          <w:tcPr>
            <w:tcW w:w="1246"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42.5</w:t>
            </w:r>
          </w:p>
        </w:tc>
        <w:tc>
          <w:tcPr>
            <w:tcW w:w="1094" w:type="dxa"/>
            <w:vAlign w:val="center"/>
          </w:tcPr>
          <w:p w:rsidR="00744C67" w:rsidRPr="00190574" w:rsidRDefault="00744C67" w:rsidP="00DF26CD">
            <w:pPr>
              <w:widowControl w:val="0"/>
              <w:ind w:right="144" w:firstLine="0"/>
              <w:jc w:val="right"/>
              <w:rPr>
                <w:rFonts w:cs="Arial"/>
                <w:bCs/>
                <w:snapToGrid w:val="0"/>
                <w:sz w:val="24"/>
              </w:rPr>
            </w:pP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0.8</w:t>
            </w:r>
          </w:p>
        </w:tc>
      </w:tr>
      <w:tr w:rsidR="00190574" w:rsidRPr="00190574" w:rsidTr="007C62D2">
        <w:trPr>
          <w:jc w:val="center"/>
        </w:trPr>
        <w:tc>
          <w:tcPr>
            <w:tcW w:w="1067"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2103005000</w:t>
            </w:r>
          </w:p>
        </w:tc>
        <w:tc>
          <w:tcPr>
            <w:tcW w:w="2742"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Comm/Inst Residual Oil</w:t>
            </w:r>
          </w:p>
        </w:tc>
        <w:tc>
          <w:tcPr>
            <w:tcW w:w="1260"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lb/1000 gal</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1.13</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55</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5</w:t>
            </w:r>
          </w:p>
        </w:tc>
        <w:tc>
          <w:tcPr>
            <w:tcW w:w="108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157 * S%</w:t>
            </w:r>
          </w:p>
        </w:tc>
        <w:tc>
          <w:tcPr>
            <w:tcW w:w="126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1.92 * (1.12 * S% + 0.37)</w:t>
            </w:r>
          </w:p>
        </w:tc>
        <w:tc>
          <w:tcPr>
            <w:tcW w:w="1246"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5.17 * (1.12 * S% + 0.37)</w:t>
            </w:r>
          </w:p>
        </w:tc>
        <w:tc>
          <w:tcPr>
            <w:tcW w:w="1094"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1.5</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0.8</w:t>
            </w:r>
          </w:p>
        </w:tc>
      </w:tr>
      <w:tr w:rsidR="00190574" w:rsidRPr="00190574" w:rsidTr="007C62D2">
        <w:trPr>
          <w:jc w:val="center"/>
        </w:trPr>
        <w:tc>
          <w:tcPr>
            <w:tcW w:w="1067"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2103006000</w:t>
            </w:r>
          </w:p>
        </w:tc>
        <w:tc>
          <w:tcPr>
            <w:tcW w:w="2742"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Comm/Inst Natural Gas</w:t>
            </w:r>
          </w:p>
        </w:tc>
        <w:tc>
          <w:tcPr>
            <w:tcW w:w="1260"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lb/MMcf</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5.5</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100</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84</w:t>
            </w:r>
          </w:p>
        </w:tc>
        <w:tc>
          <w:tcPr>
            <w:tcW w:w="108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0.6</w:t>
            </w:r>
          </w:p>
        </w:tc>
        <w:tc>
          <w:tcPr>
            <w:tcW w:w="126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0.11</w:t>
            </w:r>
          </w:p>
        </w:tc>
        <w:tc>
          <w:tcPr>
            <w:tcW w:w="1246"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0.2</w:t>
            </w:r>
          </w:p>
        </w:tc>
        <w:tc>
          <w:tcPr>
            <w:tcW w:w="1094"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0.32</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0.49</w:t>
            </w:r>
          </w:p>
        </w:tc>
      </w:tr>
      <w:tr w:rsidR="00190574" w:rsidRPr="00190574" w:rsidTr="007C62D2">
        <w:trPr>
          <w:jc w:val="center"/>
        </w:trPr>
        <w:tc>
          <w:tcPr>
            <w:tcW w:w="1067"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2103007000</w:t>
            </w:r>
          </w:p>
        </w:tc>
        <w:tc>
          <w:tcPr>
            <w:tcW w:w="2742"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Comm/Inst LPG</w:t>
            </w:r>
          </w:p>
        </w:tc>
        <w:tc>
          <w:tcPr>
            <w:tcW w:w="1260"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lb/1000 gal</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0.52</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14.23</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7.97</w:t>
            </w:r>
          </w:p>
        </w:tc>
        <w:tc>
          <w:tcPr>
            <w:tcW w:w="108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0.06</w:t>
            </w:r>
          </w:p>
        </w:tc>
        <w:tc>
          <w:tcPr>
            <w:tcW w:w="126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0.01</w:t>
            </w:r>
          </w:p>
        </w:tc>
        <w:tc>
          <w:tcPr>
            <w:tcW w:w="1246"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0.02</w:t>
            </w:r>
          </w:p>
        </w:tc>
        <w:tc>
          <w:tcPr>
            <w:tcW w:w="1094"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0.03</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0.05</w:t>
            </w:r>
          </w:p>
        </w:tc>
      </w:tr>
      <w:tr w:rsidR="00190574" w:rsidRPr="00190574" w:rsidTr="007C62D2">
        <w:trPr>
          <w:jc w:val="center"/>
        </w:trPr>
        <w:tc>
          <w:tcPr>
            <w:tcW w:w="1067"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2103008000</w:t>
            </w:r>
          </w:p>
        </w:tc>
        <w:tc>
          <w:tcPr>
            <w:tcW w:w="2742"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 xml:space="preserve">Comm/Inst Wood </w:t>
            </w:r>
            <w:r w:rsidRPr="00190574">
              <w:rPr>
                <w:rFonts w:cs="Arial"/>
                <w:bCs/>
                <w:snapToGrid w:val="0"/>
                <w:sz w:val="24"/>
                <w:vertAlign w:val="superscript"/>
              </w:rPr>
              <w:t>5</w:t>
            </w:r>
          </w:p>
        </w:tc>
        <w:tc>
          <w:tcPr>
            <w:tcW w:w="1260"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lb/MMBtu</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0.017</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0.22</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0.6</w:t>
            </w:r>
          </w:p>
        </w:tc>
        <w:tc>
          <w:tcPr>
            <w:tcW w:w="108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0.025</w:t>
            </w:r>
          </w:p>
        </w:tc>
        <w:tc>
          <w:tcPr>
            <w:tcW w:w="126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0.43</w:t>
            </w:r>
          </w:p>
        </w:tc>
        <w:tc>
          <w:tcPr>
            <w:tcW w:w="1246"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0.5</w:t>
            </w:r>
          </w:p>
        </w:tc>
        <w:tc>
          <w:tcPr>
            <w:tcW w:w="1094"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0.017</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0.005</w:t>
            </w:r>
            <w:r w:rsidRPr="00190574">
              <w:rPr>
                <w:rFonts w:cs="Arial"/>
                <w:bCs/>
                <w:snapToGrid w:val="0"/>
                <w:sz w:val="24"/>
                <w:vertAlign w:val="superscript"/>
              </w:rPr>
              <w:t>6</w:t>
            </w:r>
          </w:p>
        </w:tc>
      </w:tr>
      <w:tr w:rsidR="00190574" w:rsidRPr="00190574" w:rsidTr="007C62D2">
        <w:trPr>
          <w:jc w:val="center"/>
        </w:trPr>
        <w:tc>
          <w:tcPr>
            <w:tcW w:w="1067"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2103011000</w:t>
            </w:r>
          </w:p>
        </w:tc>
        <w:tc>
          <w:tcPr>
            <w:tcW w:w="2742"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Comm/Inst Kerosene</w:t>
            </w:r>
          </w:p>
        </w:tc>
        <w:tc>
          <w:tcPr>
            <w:tcW w:w="1260" w:type="dxa"/>
            <w:vAlign w:val="center"/>
          </w:tcPr>
          <w:p w:rsidR="00744C67" w:rsidRPr="00190574" w:rsidRDefault="00744C67" w:rsidP="00DF26CD">
            <w:pPr>
              <w:widowControl w:val="0"/>
              <w:ind w:firstLine="0"/>
              <w:jc w:val="center"/>
              <w:rPr>
                <w:rFonts w:cs="Arial"/>
                <w:bCs/>
                <w:snapToGrid w:val="0"/>
                <w:sz w:val="24"/>
              </w:rPr>
            </w:pPr>
            <w:r w:rsidRPr="00190574">
              <w:rPr>
                <w:rFonts w:cs="Arial"/>
                <w:bCs/>
                <w:snapToGrid w:val="0"/>
                <w:sz w:val="24"/>
              </w:rPr>
              <w:t>lb/1000 gal</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0.33</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19.3</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4.8</w:t>
            </w:r>
          </w:p>
        </w:tc>
        <w:tc>
          <w:tcPr>
            <w:tcW w:w="108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142 * S%</w:t>
            </w:r>
          </w:p>
        </w:tc>
        <w:tc>
          <w:tcPr>
            <w:tcW w:w="126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0.8</w:t>
            </w:r>
          </w:p>
        </w:tc>
        <w:tc>
          <w:tcPr>
            <w:tcW w:w="1246"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1.04</w:t>
            </w:r>
          </w:p>
        </w:tc>
        <w:tc>
          <w:tcPr>
            <w:tcW w:w="1094"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1.3</w:t>
            </w:r>
          </w:p>
        </w:tc>
        <w:tc>
          <w:tcPr>
            <w:tcW w:w="900" w:type="dxa"/>
            <w:vAlign w:val="center"/>
          </w:tcPr>
          <w:p w:rsidR="00744C67" w:rsidRPr="00190574" w:rsidRDefault="00744C67" w:rsidP="00DF26CD">
            <w:pPr>
              <w:widowControl w:val="0"/>
              <w:ind w:right="144" w:firstLine="0"/>
              <w:jc w:val="right"/>
              <w:rPr>
                <w:rFonts w:cs="Arial"/>
                <w:bCs/>
                <w:snapToGrid w:val="0"/>
                <w:sz w:val="24"/>
              </w:rPr>
            </w:pPr>
            <w:r w:rsidRPr="00190574">
              <w:rPr>
                <w:rFonts w:cs="Arial"/>
                <w:bCs/>
                <w:snapToGrid w:val="0"/>
                <w:sz w:val="24"/>
              </w:rPr>
              <w:t>0.8</w:t>
            </w:r>
          </w:p>
        </w:tc>
      </w:tr>
    </w:tbl>
    <w:p w:rsidR="00DF26CD" w:rsidRPr="00190574" w:rsidRDefault="00DF26CD" w:rsidP="007C62D2">
      <w:pPr>
        <w:tabs>
          <w:tab w:val="left" w:pos="720"/>
        </w:tabs>
        <w:ind w:firstLine="0"/>
        <w:rPr>
          <w:rFonts w:ascii="Times New Roman" w:hAnsi="Times New Roman"/>
          <w:sz w:val="24"/>
        </w:rPr>
      </w:pPr>
      <w:r w:rsidRPr="00190574">
        <w:rPr>
          <w:rFonts w:ascii="Times New Roman" w:hAnsi="Times New Roman"/>
          <w:sz w:val="24"/>
        </w:rPr>
        <w:t>Source:</w:t>
      </w:r>
      <w:r w:rsidRPr="00190574">
        <w:rPr>
          <w:rFonts w:ascii="Times New Roman" w:hAnsi="Times New Roman"/>
          <w:sz w:val="24"/>
        </w:rPr>
        <w:tab/>
        <w:t>Unless otherwise noted, ERTAC emission factors used to support the 2011 NEI (Huntley, 2009).</w:t>
      </w:r>
    </w:p>
    <w:p w:rsidR="00DF26CD" w:rsidRPr="00190574" w:rsidRDefault="00DF26CD" w:rsidP="00DF26CD">
      <w:pPr>
        <w:ind w:left="720" w:hanging="720"/>
        <w:rPr>
          <w:rFonts w:ascii="Times New Roman" w:hAnsi="Times New Roman"/>
          <w:sz w:val="24"/>
        </w:rPr>
      </w:pPr>
      <w:r w:rsidRPr="00190574">
        <w:rPr>
          <w:rFonts w:ascii="Times New Roman" w:hAnsi="Times New Roman"/>
          <w:sz w:val="24"/>
        </w:rPr>
        <w:t>Notes:</w:t>
      </w:r>
      <w:r w:rsidRPr="00190574">
        <w:rPr>
          <w:rFonts w:ascii="Times New Roman" w:hAnsi="Times New Roman"/>
          <w:sz w:val="24"/>
        </w:rPr>
        <w:tab/>
      </w:r>
      <w:r w:rsidRPr="00190574">
        <w:rPr>
          <w:rFonts w:ascii="Times New Roman" w:hAnsi="Times New Roman"/>
          <w:sz w:val="24"/>
          <w:vertAlign w:val="superscript"/>
        </w:rPr>
        <w:t>1</w:t>
      </w:r>
      <w:r w:rsidRPr="00190574">
        <w:rPr>
          <w:rFonts w:ascii="Times New Roman" w:hAnsi="Times New Roman"/>
          <w:sz w:val="24"/>
        </w:rPr>
        <w:t xml:space="preserve"> lb = pound; ton = short ton; gal = gallon; MMcf = million cubic feet; MMBtu = million British thermal units; bbl = barrels; S% = percent sulfur content; A% = percent</w:t>
      </w:r>
    </w:p>
    <w:p w:rsidR="00DF26CD" w:rsidRPr="00190574" w:rsidRDefault="00BF3199" w:rsidP="00DF26CD">
      <w:pPr>
        <w:ind w:left="720"/>
        <w:rPr>
          <w:rFonts w:ascii="Times New Roman" w:hAnsi="Times New Roman"/>
          <w:sz w:val="24"/>
        </w:rPr>
      </w:pPr>
      <w:r>
        <w:rPr>
          <w:rFonts w:ascii="Times New Roman" w:hAnsi="Times New Roman"/>
          <w:sz w:val="24"/>
        </w:rPr>
        <w:tab/>
      </w:r>
      <w:r w:rsidR="00DF26CD" w:rsidRPr="00190574">
        <w:rPr>
          <w:rFonts w:ascii="Times New Roman" w:hAnsi="Times New Roman"/>
          <w:sz w:val="24"/>
        </w:rPr>
        <w:t>ash content</w:t>
      </w:r>
    </w:p>
    <w:p w:rsidR="00DF26CD" w:rsidRPr="00190574" w:rsidRDefault="00DF26CD" w:rsidP="00DF26CD">
      <w:pPr>
        <w:ind w:left="900" w:hanging="180"/>
        <w:rPr>
          <w:rFonts w:ascii="Times New Roman" w:hAnsi="Times New Roman"/>
          <w:sz w:val="24"/>
        </w:rPr>
      </w:pPr>
      <w:r w:rsidRPr="00190574">
        <w:rPr>
          <w:rFonts w:ascii="Times New Roman" w:hAnsi="Times New Roman"/>
          <w:sz w:val="24"/>
          <w:vertAlign w:val="superscript"/>
        </w:rPr>
        <w:t>2</w:t>
      </w:r>
      <w:r w:rsidRPr="00190574">
        <w:rPr>
          <w:rFonts w:ascii="Times New Roman" w:hAnsi="Times New Roman"/>
          <w:sz w:val="24"/>
        </w:rPr>
        <w:t xml:space="preserve"> The EPA ERTAC emission factor workbook (Huntley, 2009) for this emission factors (EF) contains an error. The change log in the ERTAC workbook conflicts with the actual changes made to the emission factors spreadsheet. The PM-CON EF should be 0.32 lb/MMcf for 2102006000 instead of the 0.49 lb/MMcf value reported in the ERTAC workbook.</w:t>
      </w:r>
    </w:p>
    <w:p w:rsidR="00DF26CD" w:rsidRPr="00190574" w:rsidRDefault="00DF26CD" w:rsidP="00DF26CD">
      <w:pPr>
        <w:ind w:firstLine="720"/>
        <w:rPr>
          <w:rFonts w:ascii="Times New Roman" w:hAnsi="Times New Roman"/>
          <w:sz w:val="24"/>
        </w:rPr>
      </w:pPr>
      <w:r w:rsidRPr="00190574">
        <w:rPr>
          <w:rFonts w:ascii="Times New Roman" w:hAnsi="Times New Roman"/>
          <w:sz w:val="24"/>
          <w:vertAlign w:val="superscript"/>
        </w:rPr>
        <w:t>3</w:t>
      </w:r>
      <w:r w:rsidRPr="00190574">
        <w:rPr>
          <w:rFonts w:ascii="Times New Roman" w:hAnsi="Times New Roman"/>
          <w:sz w:val="24"/>
        </w:rPr>
        <w:t xml:space="preserve"> Emission factors from Commercial/Institutional LPG.</w:t>
      </w:r>
    </w:p>
    <w:p w:rsidR="00DF26CD" w:rsidRPr="00190574" w:rsidRDefault="00DF26CD" w:rsidP="00DF26CD">
      <w:pPr>
        <w:ind w:left="900" w:hanging="180"/>
        <w:rPr>
          <w:rFonts w:ascii="Times New Roman" w:hAnsi="Times New Roman"/>
          <w:sz w:val="24"/>
        </w:rPr>
      </w:pPr>
      <w:r w:rsidRPr="00190574">
        <w:rPr>
          <w:rFonts w:ascii="Times New Roman" w:hAnsi="Times New Roman"/>
          <w:sz w:val="24"/>
          <w:vertAlign w:val="superscript"/>
        </w:rPr>
        <w:t>4</w:t>
      </w:r>
      <w:r w:rsidRPr="00190574">
        <w:rPr>
          <w:rFonts w:ascii="Times New Roman" w:hAnsi="Times New Roman"/>
          <w:sz w:val="24"/>
        </w:rPr>
        <w:t xml:space="preserve"> The EPA ERTAC emission factor workbook (Huntley, 2009) for this emission factors (EF) contains an error. The change log in the ERTAC workbook conflicts with the actual changes made to the emission factors spreadsheet. The NH</w:t>
      </w:r>
      <w:r w:rsidRPr="00190574">
        <w:rPr>
          <w:rFonts w:ascii="Times New Roman" w:hAnsi="Times New Roman"/>
          <w:sz w:val="24"/>
          <w:vertAlign w:val="subscript"/>
        </w:rPr>
        <w:t>3</w:t>
      </w:r>
      <w:r w:rsidRPr="00190574">
        <w:rPr>
          <w:rFonts w:ascii="Times New Roman" w:hAnsi="Times New Roman"/>
          <w:sz w:val="24"/>
        </w:rPr>
        <w:t xml:space="preserve"> EF should be 0.3 lb/1000 gal for 2102007000 instead of the 0.05 lb/1000 gal value reported in the ERTAC workbook.</w:t>
      </w:r>
    </w:p>
    <w:p w:rsidR="00DF26CD" w:rsidRPr="00190574" w:rsidRDefault="00DF26CD" w:rsidP="00DF26CD">
      <w:pPr>
        <w:ind w:firstLine="720"/>
        <w:rPr>
          <w:rFonts w:ascii="Times New Roman" w:hAnsi="Times New Roman"/>
          <w:sz w:val="24"/>
        </w:rPr>
      </w:pPr>
      <w:r w:rsidRPr="00190574">
        <w:rPr>
          <w:rFonts w:ascii="Times New Roman" w:hAnsi="Times New Roman"/>
          <w:sz w:val="24"/>
          <w:vertAlign w:val="superscript"/>
        </w:rPr>
        <w:t>5</w:t>
      </w:r>
      <w:r w:rsidRPr="00190574">
        <w:rPr>
          <w:rFonts w:ascii="Times New Roman" w:hAnsi="Times New Roman"/>
          <w:sz w:val="24"/>
        </w:rPr>
        <w:t xml:space="preserve"> Emission factors from </w:t>
      </w:r>
      <w:r w:rsidRPr="00190574">
        <w:rPr>
          <w:rFonts w:ascii="Times New Roman" w:hAnsi="Times New Roman"/>
          <w:i/>
          <w:sz w:val="24"/>
        </w:rPr>
        <w:t>AP-42</w:t>
      </w:r>
      <w:r w:rsidRPr="00190574">
        <w:rPr>
          <w:rFonts w:ascii="Times New Roman" w:hAnsi="Times New Roman"/>
          <w:sz w:val="24"/>
        </w:rPr>
        <w:t>, Section 1.6, Wood Residue Combustion in Boilers (EPA, 2003).</w:t>
      </w:r>
    </w:p>
    <w:p w:rsidR="00DF26CD" w:rsidRPr="00190574" w:rsidRDefault="00DF26CD" w:rsidP="00DF26CD">
      <w:pPr>
        <w:ind w:firstLine="720"/>
        <w:rPr>
          <w:rFonts w:ascii="Times New Roman" w:hAnsi="Times New Roman"/>
          <w:sz w:val="24"/>
        </w:rPr>
      </w:pPr>
      <w:r w:rsidRPr="00190574">
        <w:rPr>
          <w:rFonts w:ascii="Times New Roman" w:hAnsi="Times New Roman"/>
          <w:sz w:val="24"/>
          <w:vertAlign w:val="superscript"/>
        </w:rPr>
        <w:t>6</w:t>
      </w:r>
      <w:r w:rsidRPr="00190574">
        <w:rPr>
          <w:rFonts w:ascii="Times New Roman" w:hAnsi="Times New Roman"/>
          <w:sz w:val="24"/>
        </w:rPr>
        <w:t xml:space="preserve"> Emission factor from Pechan, 2004 (converted from lb/ton using 0.08 ton/MMBtu for Industrial sector and 0.0625 ton/MMBtu for Commercial sector).</w:t>
      </w:r>
    </w:p>
    <w:p w:rsidR="00DF26CD" w:rsidRPr="00190574" w:rsidRDefault="00DF26CD" w:rsidP="00DF26CD">
      <w:pPr>
        <w:ind w:left="900" w:hanging="180"/>
        <w:rPr>
          <w:rFonts w:ascii="Times New Roman" w:hAnsi="Times New Roman"/>
          <w:sz w:val="24"/>
        </w:rPr>
      </w:pPr>
      <w:r w:rsidRPr="00190574">
        <w:rPr>
          <w:rFonts w:ascii="Times New Roman" w:hAnsi="Times New Roman"/>
          <w:sz w:val="24"/>
          <w:vertAlign w:val="superscript"/>
        </w:rPr>
        <w:t>7</w:t>
      </w:r>
      <w:r w:rsidRPr="00190574">
        <w:rPr>
          <w:rFonts w:ascii="Times New Roman" w:hAnsi="Times New Roman"/>
          <w:sz w:val="24"/>
        </w:rPr>
        <w:t xml:space="preserve"> The EPA ERTAC emission factor workbook (Huntley, 2009) for this emission factors (EF) contains an error. The ERTAC workbook uses the equation 157*S%. The correct EF equation is 142*S%.</w:t>
      </w:r>
    </w:p>
    <w:p w:rsidR="00937313" w:rsidRPr="00190574" w:rsidRDefault="00937313" w:rsidP="00DF26CD">
      <w:pPr>
        <w:ind w:left="900" w:hanging="180"/>
        <w:rPr>
          <w:rFonts w:ascii="Times New Roman" w:hAnsi="Times New Roman"/>
          <w:sz w:val="24"/>
        </w:rPr>
      </w:pPr>
    </w:p>
    <w:p w:rsidR="00937313" w:rsidRPr="00190574" w:rsidRDefault="00937313" w:rsidP="00DF26CD">
      <w:pPr>
        <w:ind w:left="900" w:hanging="180"/>
        <w:rPr>
          <w:rFonts w:ascii="Times New Roman" w:hAnsi="Times New Roman"/>
          <w:sz w:val="24"/>
        </w:rPr>
      </w:pPr>
    </w:p>
    <w:p w:rsidR="00937313" w:rsidRPr="00190574" w:rsidRDefault="00937313">
      <w:pPr>
        <w:ind w:firstLine="0"/>
        <w:rPr>
          <w:rFonts w:ascii="Times New Roman" w:hAnsi="Times New Roman"/>
          <w:sz w:val="24"/>
        </w:rPr>
      </w:pPr>
      <w:r w:rsidRPr="00190574">
        <w:rPr>
          <w:rFonts w:ascii="Times New Roman" w:hAnsi="Times New Roman"/>
          <w:sz w:val="24"/>
        </w:rPr>
        <w:br w:type="page"/>
      </w:r>
    </w:p>
    <w:p w:rsidR="00937313" w:rsidRPr="00190574" w:rsidRDefault="00937313" w:rsidP="00937313">
      <w:pPr>
        <w:pStyle w:val="Caption"/>
        <w:keepNext/>
        <w:jc w:val="center"/>
        <w:rPr>
          <w:rFonts w:ascii="Times New Roman" w:hAnsi="Times New Roman"/>
          <w:sz w:val="24"/>
          <w:szCs w:val="24"/>
        </w:rPr>
      </w:pPr>
      <w:bookmarkStart w:id="45" w:name="_Toc484000188"/>
      <w:r w:rsidRPr="00190574">
        <w:rPr>
          <w:rFonts w:ascii="Times New Roman" w:hAnsi="Times New Roman"/>
          <w:sz w:val="24"/>
          <w:szCs w:val="24"/>
        </w:rPr>
        <w:lastRenderedPageBreak/>
        <w:t>Table A-</w:t>
      </w:r>
      <w:r w:rsidRPr="00190574">
        <w:rPr>
          <w:rFonts w:ascii="Times New Roman" w:hAnsi="Times New Roman"/>
          <w:sz w:val="24"/>
          <w:szCs w:val="24"/>
        </w:rPr>
        <w:fldChar w:fldCharType="begin"/>
      </w:r>
      <w:r w:rsidRPr="00190574">
        <w:rPr>
          <w:rFonts w:ascii="Times New Roman" w:hAnsi="Times New Roman"/>
          <w:sz w:val="24"/>
          <w:szCs w:val="24"/>
        </w:rPr>
        <w:instrText xml:space="preserve"> SEQ Table \* ARABIC </w:instrText>
      </w:r>
      <w:r w:rsidRPr="00190574">
        <w:rPr>
          <w:rFonts w:ascii="Times New Roman" w:hAnsi="Times New Roman"/>
          <w:sz w:val="24"/>
          <w:szCs w:val="24"/>
        </w:rPr>
        <w:fldChar w:fldCharType="separate"/>
      </w:r>
      <w:r w:rsidR="0021591B" w:rsidRPr="00190574">
        <w:rPr>
          <w:rFonts w:ascii="Times New Roman" w:hAnsi="Times New Roman"/>
          <w:noProof/>
          <w:sz w:val="24"/>
          <w:szCs w:val="24"/>
        </w:rPr>
        <w:t>4</w:t>
      </w:r>
      <w:r w:rsidRPr="00190574">
        <w:rPr>
          <w:rFonts w:ascii="Times New Roman" w:hAnsi="Times New Roman"/>
          <w:sz w:val="24"/>
          <w:szCs w:val="24"/>
        </w:rPr>
        <w:fldChar w:fldCharType="end"/>
      </w:r>
      <w:r w:rsidRPr="00190574">
        <w:rPr>
          <w:rFonts w:ascii="Times New Roman" w:hAnsi="Times New Roman"/>
          <w:sz w:val="24"/>
          <w:szCs w:val="24"/>
        </w:rPr>
        <w:t xml:space="preserve">. Speciation factors for HAP VOCs. These factors are multiplied by VOC emissions to estimate emissions for </w:t>
      </w:r>
      <w:r w:rsidR="00744C67" w:rsidRPr="00190574">
        <w:rPr>
          <w:rFonts w:ascii="Times New Roman" w:hAnsi="Times New Roman"/>
          <w:sz w:val="24"/>
          <w:szCs w:val="24"/>
        </w:rPr>
        <w:t>e</w:t>
      </w:r>
      <w:r w:rsidRPr="00190574">
        <w:rPr>
          <w:rFonts w:ascii="Times New Roman" w:hAnsi="Times New Roman"/>
          <w:sz w:val="24"/>
          <w:szCs w:val="24"/>
        </w:rPr>
        <w:t>ach HAP.</w:t>
      </w:r>
      <w:bookmarkEnd w:id="45"/>
    </w:p>
    <w:tbl>
      <w:tblPr>
        <w:tblW w:w="12520" w:type="dxa"/>
        <w:tblInd w:w="93" w:type="dxa"/>
        <w:tblLook w:val="04A0" w:firstRow="1" w:lastRow="0" w:firstColumn="1" w:lastColumn="0" w:noHBand="0" w:noVBand="1"/>
        <w:tblCaption w:val="Table A-4. Speciation factors for HAP VOCs. These factors are multiplied by VOC emissions to estimate emissions for each HAP."/>
        <w:tblDescription w:val="SCC Description Pollutant Code Pollutant Code Description Speciation Ratio"/>
      </w:tblPr>
      <w:tblGrid>
        <w:gridCol w:w="1550"/>
        <w:gridCol w:w="3596"/>
        <w:gridCol w:w="1283"/>
        <w:gridCol w:w="4890"/>
        <w:gridCol w:w="1538"/>
      </w:tblGrid>
      <w:tr w:rsidR="00190574" w:rsidRPr="00190574" w:rsidTr="00937313">
        <w:trPr>
          <w:trHeight w:val="300"/>
          <w:tblHeader/>
        </w:trPr>
        <w:tc>
          <w:tcPr>
            <w:tcW w:w="1332" w:type="dxa"/>
            <w:tcBorders>
              <w:top w:val="single" w:sz="4" w:space="0" w:color="000000"/>
              <w:left w:val="single" w:sz="4" w:space="0" w:color="000000"/>
              <w:bottom w:val="single" w:sz="4" w:space="0" w:color="000000"/>
              <w:right w:val="single" w:sz="4" w:space="0" w:color="000000"/>
            </w:tcBorders>
            <w:shd w:val="clear" w:color="auto" w:fill="D6291C"/>
            <w:noWrap/>
            <w:vAlign w:val="bottom"/>
            <w:hideMark/>
          </w:tcPr>
          <w:p w:rsidR="00937313" w:rsidRPr="00190574" w:rsidRDefault="00937313" w:rsidP="00937313">
            <w:pPr>
              <w:ind w:firstLine="0"/>
              <w:jc w:val="center"/>
              <w:rPr>
                <w:rFonts w:cs="Arial"/>
                <w:b/>
                <w:sz w:val="24"/>
              </w:rPr>
            </w:pPr>
            <w:r w:rsidRPr="00190574">
              <w:rPr>
                <w:rFonts w:cs="Arial"/>
                <w:b/>
                <w:sz w:val="24"/>
              </w:rPr>
              <w:t>SCC</w:t>
            </w:r>
          </w:p>
        </w:tc>
        <w:tc>
          <w:tcPr>
            <w:tcW w:w="3600" w:type="dxa"/>
            <w:tcBorders>
              <w:top w:val="single" w:sz="4" w:space="0" w:color="000000"/>
              <w:left w:val="nil"/>
              <w:bottom w:val="single" w:sz="4" w:space="0" w:color="000000"/>
              <w:right w:val="single" w:sz="4" w:space="0" w:color="000000"/>
            </w:tcBorders>
            <w:shd w:val="clear" w:color="auto" w:fill="D6291C"/>
            <w:noWrap/>
            <w:vAlign w:val="bottom"/>
            <w:hideMark/>
          </w:tcPr>
          <w:p w:rsidR="00937313" w:rsidRPr="00190574" w:rsidRDefault="00937313" w:rsidP="00937313">
            <w:pPr>
              <w:ind w:firstLine="0"/>
              <w:jc w:val="center"/>
              <w:rPr>
                <w:rFonts w:cs="Arial"/>
                <w:b/>
                <w:sz w:val="24"/>
              </w:rPr>
            </w:pPr>
            <w:r w:rsidRPr="00190574">
              <w:rPr>
                <w:rFonts w:cs="Arial"/>
                <w:b/>
                <w:sz w:val="24"/>
              </w:rPr>
              <w:t>Description</w:t>
            </w:r>
          </w:p>
        </w:tc>
        <w:tc>
          <w:tcPr>
            <w:tcW w:w="1152" w:type="dxa"/>
            <w:tcBorders>
              <w:top w:val="single" w:sz="4" w:space="0" w:color="000000"/>
              <w:left w:val="nil"/>
              <w:bottom w:val="single" w:sz="4" w:space="0" w:color="000000"/>
              <w:right w:val="single" w:sz="4" w:space="0" w:color="000000"/>
            </w:tcBorders>
            <w:shd w:val="clear" w:color="auto" w:fill="D6291C"/>
            <w:noWrap/>
            <w:vAlign w:val="bottom"/>
            <w:hideMark/>
          </w:tcPr>
          <w:p w:rsidR="00937313" w:rsidRPr="00190574" w:rsidRDefault="00937313" w:rsidP="00937313">
            <w:pPr>
              <w:ind w:firstLine="0"/>
              <w:jc w:val="center"/>
              <w:rPr>
                <w:rFonts w:cs="Arial"/>
                <w:b/>
                <w:sz w:val="24"/>
              </w:rPr>
            </w:pPr>
            <w:r w:rsidRPr="00190574">
              <w:rPr>
                <w:rFonts w:cs="Arial"/>
                <w:b/>
                <w:sz w:val="24"/>
              </w:rPr>
              <w:t>Pollutant Code</w:t>
            </w:r>
          </w:p>
        </w:tc>
        <w:tc>
          <w:tcPr>
            <w:tcW w:w="4896" w:type="dxa"/>
            <w:tcBorders>
              <w:top w:val="single" w:sz="4" w:space="0" w:color="000000"/>
              <w:left w:val="nil"/>
              <w:bottom w:val="single" w:sz="4" w:space="0" w:color="000000"/>
              <w:right w:val="single" w:sz="4" w:space="0" w:color="000000"/>
            </w:tcBorders>
            <w:shd w:val="clear" w:color="auto" w:fill="D6291C"/>
            <w:noWrap/>
            <w:vAlign w:val="bottom"/>
            <w:hideMark/>
          </w:tcPr>
          <w:p w:rsidR="00937313" w:rsidRPr="00190574" w:rsidRDefault="00937313" w:rsidP="00937313">
            <w:pPr>
              <w:ind w:firstLine="0"/>
              <w:jc w:val="center"/>
              <w:rPr>
                <w:rFonts w:cs="Arial"/>
                <w:b/>
                <w:sz w:val="24"/>
              </w:rPr>
            </w:pPr>
            <w:r w:rsidRPr="00190574">
              <w:rPr>
                <w:rFonts w:cs="Arial"/>
                <w:b/>
                <w:sz w:val="24"/>
              </w:rPr>
              <w:t>Pollutant Code Description</w:t>
            </w:r>
          </w:p>
        </w:tc>
        <w:tc>
          <w:tcPr>
            <w:tcW w:w="1540" w:type="dxa"/>
            <w:tcBorders>
              <w:top w:val="single" w:sz="4" w:space="0" w:color="000000"/>
              <w:left w:val="nil"/>
              <w:bottom w:val="single" w:sz="4" w:space="0" w:color="000000"/>
              <w:right w:val="single" w:sz="4" w:space="0" w:color="000000"/>
            </w:tcBorders>
            <w:shd w:val="clear" w:color="auto" w:fill="D6291C"/>
            <w:noWrap/>
            <w:vAlign w:val="bottom"/>
            <w:hideMark/>
          </w:tcPr>
          <w:p w:rsidR="00937313" w:rsidRPr="00190574" w:rsidRDefault="00937313" w:rsidP="00937313">
            <w:pPr>
              <w:ind w:firstLine="0"/>
              <w:jc w:val="center"/>
              <w:rPr>
                <w:rFonts w:cs="Arial"/>
                <w:b/>
                <w:sz w:val="24"/>
              </w:rPr>
            </w:pPr>
            <w:r w:rsidRPr="00190574">
              <w:rPr>
                <w:rFonts w:cs="Arial"/>
                <w:b/>
                <w:sz w:val="24"/>
              </w:rPr>
              <w:t>Speciation Ratio</w:t>
            </w:r>
          </w:p>
        </w:tc>
      </w:tr>
      <w:tr w:rsidR="00190574" w:rsidRPr="00190574" w:rsidTr="00937313">
        <w:trPr>
          <w:trHeight w:val="300"/>
        </w:trPr>
        <w:tc>
          <w:tcPr>
            <w:tcW w:w="1332" w:type="dxa"/>
            <w:tcBorders>
              <w:top w:val="single" w:sz="4" w:space="0" w:color="C0C0C0"/>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2102001000</w:t>
            </w:r>
          </w:p>
        </w:tc>
        <w:tc>
          <w:tcPr>
            <w:tcW w:w="3600" w:type="dxa"/>
            <w:tcBorders>
              <w:top w:val="single" w:sz="4" w:space="0" w:color="C0C0C0"/>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Anthracite Coal</w:t>
            </w:r>
          </w:p>
        </w:tc>
        <w:tc>
          <w:tcPr>
            <w:tcW w:w="1152" w:type="dxa"/>
            <w:tcBorders>
              <w:top w:val="single" w:sz="4" w:space="0" w:color="C0C0C0"/>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85018</w:t>
            </w:r>
          </w:p>
        </w:tc>
        <w:tc>
          <w:tcPr>
            <w:tcW w:w="4896" w:type="dxa"/>
            <w:tcBorders>
              <w:top w:val="single" w:sz="4" w:space="0" w:color="C0C0C0"/>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Phenanthrene</w:t>
            </w:r>
          </w:p>
        </w:tc>
        <w:tc>
          <w:tcPr>
            <w:tcW w:w="1540" w:type="dxa"/>
            <w:tcBorders>
              <w:top w:val="single" w:sz="4" w:space="0" w:color="C0C0C0"/>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2.27E-02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Anthracite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92524</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Biphenyl</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8.33E-02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Anthracite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91203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4.33E-01</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60344</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Methylhydrazine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3.40E-03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67663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Chloroform</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1.18E-03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75003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Ethyl Chloride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8.40E-04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75252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Bromoform</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7.80E-04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56832736</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Benzofluoranthenes</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2.20E-06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91203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2.60E-04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77781</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Dimethyl Sulfate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9.60E-04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80626</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Methyl Methacrylate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4.00E-04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83329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1.02E-05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85018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5.40E-05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1634044</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Methyl Tert-Butyl Ether</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7.00E-04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92524</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Biphenyl</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3.40E-05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100447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Benzyl Chloride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1.40E-02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98828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Cumene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1.06E-04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3697243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5-Methylchrysene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4.40E-07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1330207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Xylenes (Mixed Isomers)</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7.40E-04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532274</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2-Chloroacetophenone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1.40E-04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208968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5.00E-06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206440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1.42E-05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121142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2,4-Dinitrotoluene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5.60E-06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120127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4.20E-06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108054</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Vinyl Acetate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1.52E-04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106934</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Ethylene Dibromide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2.40E-05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86737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1.82E-05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Formaldehyde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4.80E-03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191242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Benzo[g,h,i,]Perylene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5.40E-07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193395</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Indeno[1,2,3-c,d]Pyrene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1.22E-06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129000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6.60E-06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218019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Chrysene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2.00E-06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50328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Benzo[a]Pyrene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7.60E-07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Bitum/Sibbitum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56553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Benz[a]Anthracene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1.60E-06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2102004001</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Boilers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Formaldehyde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2.40E-01</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120127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6.10E-06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53703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Dibenzo[a,h]Anthracene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1.90E-06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50328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Benzo[a]Pyrene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6.13E-07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Formaldehyde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3.85E-03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208968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1.65E-05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206440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2.48E-05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205992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Benzo[b]Fluoranthene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3.23E-07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193395</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Indeno[1,2,3-c,d]Pyrene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1.22E-06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191242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Benzo[g,h,i,]Perylene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1.60E-06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56553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Benz[a]Anthracene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5.48E-06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129000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1.56E-05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218019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Chrysene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1.15E-06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108883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Toluene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1.33E-03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107028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Acrolein</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3.02E-04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106990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1,3-Butadiene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1.28E-04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1330207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Xylenes (Mixed Isomers)</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9.30E-04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75070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Acetaldehyde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2.50E-03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83329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4.63E-06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85018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9.59E-05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86737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9.52E-05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91203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2.77E-04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207089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Benzo[k]Fluoranthene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5.06E-07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71432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3.04E-03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83329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8.04E-05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2102005000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53703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Dibenzo[a,h]Anthracene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6.43E-06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56553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Benz[a]Anthracene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1.55E-05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218019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Chrysene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9.11E-06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71432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8.04E-04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Formaldehyde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1.29E-01</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208968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9.64E-07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85018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4.02E-05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91203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4.34E-03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120127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4.66E-06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129000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1.61E-05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191242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Benzo[g,h,i,]Perylene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8.57E-06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193395</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Indeno[1,2,3-c,d]Pyrene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8.04E-06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206440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1.88E-05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86737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1.71E-05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75070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Acetaldehyde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1.88E-02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2102006000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Natural Gas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71432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3.82E-04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2102006000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Natural Gas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129000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9.55E-07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2102006000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Natural Gas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206440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5.73E-07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2102006000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Natural Gas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91203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1.16E-04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2102006000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Natural Gas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86737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5.35E-07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2102006000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Natural Gas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75070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Acetaldehyde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2.48E-06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2102006000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Natural Gas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Formaldehyde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1.43E-02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2102006000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Natural Gas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85018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3.25E-06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83329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1.47E-04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91576</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2-methylnaphthalene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1.09E-03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75070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Acetaldehyde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1.24E-01</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106990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1,3-butadiene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8.51E-03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832699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1-methylphenanthrene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1.61E-04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1330207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Xylenes (Mixed Isomers)</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5.68E-03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108883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Toluene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1.15E-02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129000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1.36E-04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123386</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Propionaldehyde (or Propanal; 1-Propanone; 1-Propanal)</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1.85E-02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108952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Phenol (carbolic acid)</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3.82E-02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85018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1.14E-03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91203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1.65E-02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123319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Hydroquinone (or p-benzenediol; 1,4-Benzenediol)</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1.25E-03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Formaldehyde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8.47E-02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2531842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2-methylphenanthrene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1.35E-04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90120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1-Methylnaphthalene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7.71E-04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208968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1.35E-03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98862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Acetophenone (or 1-phenylethanone; Methyl phenyl ketone)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2.84E-04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1319773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Cresol/Cresylic Acid (Mixed Isomers)</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3.42E-02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100414</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Ethylbenzene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1.67E-03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206440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2.22E-04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86737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3.23E-04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107028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Acrolein (2-propenal)</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4.58E-03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120127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2.50E-04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71432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2.79E-02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203123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Benzo[ghi]fluoranthene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5.96E-06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120809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1,2-Benzenediol</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2.27E-02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56832736</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Benzofluoranthenes</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7.82E-06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193395</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Indeno[1,2,3-c,d]Pyrene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1.07E-05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56553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Benz[a]Anthracene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2.06E-05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218019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Chrysene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1.21E-05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208968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1.28E-06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53703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Dibenzo[a,h]Anthracene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8.53E-06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71432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1.07E-03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75070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Acetaldehyde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2.49E-02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83329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1.07E-04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85018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5.33E-05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206440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2.49E-05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91203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5.76E-03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120127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6.18E-06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129000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2.13E-05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Formaldehyde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1.71E-01</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191242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Benzo[g,h,i,]Perylene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1.14E-05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2102011000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Industrial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86737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2.27E-05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Anthracite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91203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4.33E-01</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Anthracite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85018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2.27E-02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Anthracite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92524</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Biphenyl</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8.33E-02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85018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5.40E-05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120127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4.20E-06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100447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Benzyl Chloride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1.40E-02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98828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Cumene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1.06E-04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92524</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Biphenyl</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3.40E-05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91203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2.60E-04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86737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1.82E-05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106934</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Ethylene Dibromide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2.40E-05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83329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1.02E-05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80626</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Methyl Methacrylate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4.00E-04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77781</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Dimethyl Sulfate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9.60E-04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75252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Bromoform</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7.80E-04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75003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Ethyl Chloride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8.40E-04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67663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Chloroform</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1.18E-03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60344</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Methylhydrazine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3.40E-03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Formaldehyde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4.80E-03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121142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2,4-Dinitrotoluene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5.60E-06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193395</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Indeno[1,2,3-c,d]Pyrene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1.22E-06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50328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Benzo[a]Pyrene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7.60E-07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191242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Benzo[g,h,i,]Perylene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5.40E-07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208968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5.00E-06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532274</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2-Chloroacetophenone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1.40E-04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1330207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Xylenes (Mixed Isomers)</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7.40E-04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1634044</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Methyl Tert-Butyl Ether</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7.00E-04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3697243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5-Methylchrysene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4.40E-07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56832736</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Benzofluoranthenes</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2.20E-06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56553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Benz[a]Anthracene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1.60E-06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218019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Chrysene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2.00E-06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129000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6.60E-06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108054</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Vinyl Acetate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1.52E-04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2103002000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Bitum/Subbitum Coal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206440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1.42E-05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2103004001</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Boilers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Formaldehyde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1.41E-01</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2103004001</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Boilers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71432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8.09E-03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2103004001</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Boilers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206440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9.26E-06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50328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Benzo[a]Pyrene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6.13E-07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86737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9.52E-05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85018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9.59E-05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83329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4.63E-06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75070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Acetaldehyde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2.50E-03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108883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Toluene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1.33E-03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71432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3.04E-03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56553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Benz[a]Anthracene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5.48E-06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53703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Dibenzo[a,h]Anthracene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1.90E-06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91203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2.77E-04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Formaldehyde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3.85E-03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218019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Chrysene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1.15E-06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208968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1.65E-05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107028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Acrolein</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3.02E-04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120127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6.10E-06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129000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1.56E-05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1330207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Xylenes (Mixed Isomers)</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9.30E-04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191242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Benzo[g,h,i,]Perylene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1.60E-06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193395</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Indeno[1,2,3-c,d]Pyrene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1.22E-06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205992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Benzo[b]Fluoranthene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3.23E-07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206440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2.48E-05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207089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Benzo[k]Fluoranthene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5.06E-07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2103004002</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Distillate IC Engines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106990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1,3-Butadiene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1.28E-04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129000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3.98E-06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208968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2.39E-07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Formaldehyde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3.19E-02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91203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1.08E-03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218019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Chrysene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2.26E-06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206440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4.65E-06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193395</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Indeno[1,2,3-c,d]Pyrene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1.99E-06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191242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Benzo[g,h,i,]Perylene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2.12E-06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120127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1.15E-06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85018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9.96E-06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83329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1.99E-05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75070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Acetaldehyde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4.65E-03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53703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Dibenzo[a,h]Anthracene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1.59E-06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71432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1.99E-04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56553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Benz[a]Anthracene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3.85E-06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86737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4.25E-06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2103005000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Residual Oil</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56832736</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Benzofluoranthenes</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1.46E-06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2103006000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Natural Gas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71432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3.82E-04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2103006000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Natural Gas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206440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5.73E-07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2103006000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Natural Gas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129000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9.55E-07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2103006000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Natural Gas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91203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1.16E-04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2103006000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Natural Gas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86737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5.35E-07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2103006000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Natural Gas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75070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Acetaldehyde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2.48E-06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2103006000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Natural Gas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Formaldehyde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1.43E-02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2103006000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Natural Gas</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85018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3.25E-06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2103007000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LPG</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91203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1.07E-04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2103007000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LPG</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129000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8.78E-07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2103007000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LPG</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206440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5.27E-07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2103007000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LPG</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71432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3.51E-04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2103007000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LPG</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85018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2.99E-06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2103007000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LPG</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75070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Acetaldehyde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2.28E-06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2103007000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LPG</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86737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4.92E-07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2103007000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LPG</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Formaldehyde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1.32E-02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203123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Benzo[ghi]fluoranthene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5.96E-06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100414</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Ethylbenzene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1.67E-03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106990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1,3-butadiene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8.51E-03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107028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Acrolein (2-propenal)</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4.58E-03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108883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Toluene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1.15E-02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206440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2.22E-04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120127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2.50E-04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71432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2.79E-02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120809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1,2-Benzenediol</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2.27E-02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123319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Hydroquinone (or p-benzenediol; 1,4-Benzenediol)</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1.25E-03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123386</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Propionaldehyde (or Propanal; 1-Propanone; 1-Propanal)</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1.85E-02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129000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1.36E-04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1319773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Cresol/Cresylic Acid (Mixed Isomers)</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3.42E-02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108952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Phenol (carbolic acid)</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3.82E-02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208968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1.35E-03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98862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Acetophenone (or 1-phenylethanone; Methyl phenyl ketone)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2.84E-04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Formaldehyde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8.47E-02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75070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Acetaldehyde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1.24E-01</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832699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1-methylphenanthrene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1.61E-04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83329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1.47E-04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85018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1.14E-03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86737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3.23E-04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90120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1-Methylnaphthalene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7.71E-04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91203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1.65E-02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91576</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2-methylnaphthalene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1.09E-03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1330207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Xylenes (Mixed Isomers)</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5.68E-03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2103008000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Wood</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2531842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2-methylphenanthrene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1.35E-04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85018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Phenanthrene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3.07E-05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120127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3.56E-06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50000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Formaldehyde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9.82E-02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53703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Dibenzo[a,h]Anthracene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4.91E-06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56553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Benz[a]Anthracene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1.19E-05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71432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6.14E-04</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75070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Acetaldehyde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1.43E-02</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91203</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Naphthalene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3.31E-03</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lastRenderedPageBreak/>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86737</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1.31E-05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56832736</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Benzofluoranthenes</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4.50E-06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129000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1.23E-05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191242</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Benzo[g,h,i,]Perylene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6.55E-06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193395</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Indeno[1,2,3-c,d]Pyrene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6.14E-06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206440</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Fluoranthene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1.43E-05</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208968</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Acenaphthylene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7.36E-07</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218019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Chrysene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6.95E-06</w:t>
            </w:r>
          </w:p>
        </w:tc>
      </w:tr>
      <w:tr w:rsidR="00190574" w:rsidRPr="00190574" w:rsidTr="00937313">
        <w:trPr>
          <w:trHeight w:val="300"/>
        </w:trPr>
        <w:tc>
          <w:tcPr>
            <w:tcW w:w="1332"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2103011000</w:t>
            </w:r>
          </w:p>
        </w:tc>
        <w:tc>
          <w:tcPr>
            <w:tcW w:w="36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Comm/Inst Kerosene</w:t>
            </w:r>
          </w:p>
        </w:tc>
        <w:tc>
          <w:tcPr>
            <w:tcW w:w="1152"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83329</w:t>
            </w:r>
          </w:p>
        </w:tc>
        <w:tc>
          <w:tcPr>
            <w:tcW w:w="4896"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rFonts w:cs="Arial"/>
                <w:sz w:val="24"/>
              </w:rPr>
            </w:pPr>
            <w:r w:rsidRPr="00190574">
              <w:rPr>
                <w:rFonts w:cs="Arial"/>
                <w:sz w:val="24"/>
              </w:rPr>
              <w:t>Acenaphthene</w:t>
            </w:r>
          </w:p>
        </w:tc>
        <w:tc>
          <w:tcPr>
            <w:tcW w:w="154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rFonts w:cs="Arial"/>
                <w:sz w:val="24"/>
              </w:rPr>
            </w:pPr>
            <w:r w:rsidRPr="00190574">
              <w:rPr>
                <w:rFonts w:cs="Arial"/>
                <w:sz w:val="24"/>
              </w:rPr>
              <w:t>6.14E-05</w:t>
            </w:r>
          </w:p>
        </w:tc>
      </w:tr>
    </w:tbl>
    <w:p w:rsidR="00937313" w:rsidRPr="00190574" w:rsidRDefault="00937313" w:rsidP="00DF26CD">
      <w:pPr>
        <w:ind w:left="900" w:hanging="180"/>
        <w:rPr>
          <w:rFonts w:ascii="Times New Roman" w:hAnsi="Times New Roman"/>
          <w:sz w:val="24"/>
        </w:rPr>
      </w:pPr>
    </w:p>
    <w:p w:rsidR="00744C67" w:rsidRPr="00190574" w:rsidRDefault="006A7973" w:rsidP="00744C67">
      <w:pPr>
        <w:ind w:firstLine="0"/>
        <w:rPr>
          <w:sz w:val="24"/>
        </w:rPr>
        <w:sectPr w:rsidR="00744C67" w:rsidRPr="00190574" w:rsidSect="006629C8">
          <w:pgSz w:w="15840" w:h="12240" w:orient="landscape"/>
          <w:pgMar w:top="1440" w:right="1440" w:bottom="1440" w:left="1440" w:header="720" w:footer="720" w:gutter="0"/>
          <w:pgNumType w:chapStyle="1"/>
          <w:cols w:space="360"/>
          <w:docGrid w:linePitch="360"/>
        </w:sectPr>
      </w:pPr>
      <w:r w:rsidRPr="00190574">
        <w:rPr>
          <w:i/>
          <w:sz w:val="24"/>
        </w:rPr>
        <w:t>Note:</w:t>
      </w:r>
      <w:r w:rsidRPr="00190574">
        <w:rPr>
          <w:b/>
          <w:i/>
          <w:sz w:val="24"/>
        </w:rPr>
        <w:t xml:space="preserve"> </w:t>
      </w:r>
      <w:r w:rsidRPr="00190574">
        <w:rPr>
          <w:sz w:val="24"/>
        </w:rPr>
        <w:t>Factors are developed by dividing the HAP emission factor (from AP-42) by the emission factor for VOC.</w:t>
      </w:r>
    </w:p>
    <w:p w:rsidR="00937313" w:rsidRPr="00190574" w:rsidRDefault="00937313" w:rsidP="00744C67">
      <w:pPr>
        <w:pStyle w:val="Caption"/>
        <w:keepNext/>
        <w:jc w:val="center"/>
        <w:rPr>
          <w:rFonts w:ascii="Times New Roman Bold" w:hAnsi="Times New Roman Bold"/>
          <w:sz w:val="24"/>
          <w:szCs w:val="24"/>
        </w:rPr>
      </w:pPr>
      <w:bookmarkStart w:id="46" w:name="_Toc484000189"/>
      <w:r w:rsidRPr="00190574">
        <w:rPr>
          <w:rFonts w:ascii="Times New Roman Bold" w:hAnsi="Times New Roman Bold"/>
          <w:sz w:val="24"/>
          <w:szCs w:val="24"/>
        </w:rPr>
        <w:lastRenderedPageBreak/>
        <w:t>Table A-</w:t>
      </w:r>
      <w:r w:rsidRPr="00190574">
        <w:rPr>
          <w:rFonts w:ascii="Times New Roman Bold" w:hAnsi="Times New Roman Bold"/>
          <w:sz w:val="24"/>
          <w:szCs w:val="24"/>
        </w:rPr>
        <w:fldChar w:fldCharType="begin"/>
      </w:r>
      <w:r w:rsidRPr="00190574">
        <w:rPr>
          <w:rFonts w:ascii="Times New Roman Bold" w:hAnsi="Times New Roman Bold"/>
          <w:sz w:val="24"/>
          <w:szCs w:val="24"/>
        </w:rPr>
        <w:instrText xml:space="preserve"> SEQ Table \* ARABIC </w:instrText>
      </w:r>
      <w:r w:rsidRPr="00190574">
        <w:rPr>
          <w:rFonts w:ascii="Times New Roman Bold" w:hAnsi="Times New Roman Bold"/>
          <w:sz w:val="24"/>
          <w:szCs w:val="24"/>
        </w:rPr>
        <w:fldChar w:fldCharType="separate"/>
      </w:r>
      <w:r w:rsidR="0021591B" w:rsidRPr="00190574">
        <w:rPr>
          <w:rFonts w:ascii="Times New Roman Bold" w:hAnsi="Times New Roman Bold"/>
          <w:noProof/>
          <w:sz w:val="24"/>
          <w:szCs w:val="24"/>
        </w:rPr>
        <w:t>5</w:t>
      </w:r>
      <w:r w:rsidRPr="00190574">
        <w:rPr>
          <w:rFonts w:ascii="Times New Roman Bold" w:hAnsi="Times New Roman Bold"/>
          <w:sz w:val="24"/>
          <w:szCs w:val="24"/>
        </w:rPr>
        <w:fldChar w:fldCharType="end"/>
      </w:r>
      <w:r w:rsidRPr="00190574">
        <w:rPr>
          <w:rFonts w:ascii="Times New Roman Bold" w:hAnsi="Times New Roman Bold"/>
          <w:sz w:val="24"/>
          <w:szCs w:val="24"/>
        </w:rPr>
        <w:t xml:space="preserve">. Speciation factors for non-VOC HAPs. </w:t>
      </w:r>
      <w:r w:rsidR="00744C67" w:rsidRPr="00190574">
        <w:rPr>
          <w:rFonts w:ascii="Times New Roman Bold" w:hAnsi="Times New Roman Bold"/>
          <w:sz w:val="24"/>
          <w:szCs w:val="24"/>
        </w:rPr>
        <w:t>Factors are multiplied by PM25-PRI emissions to estimate emissions for each HAP.</w:t>
      </w:r>
      <w:bookmarkEnd w:id="46"/>
      <w:r w:rsidR="006A7973" w:rsidRPr="00190574">
        <w:rPr>
          <w:rFonts w:ascii="Times New Roman Bold" w:hAnsi="Times New Roman Bold"/>
          <w:sz w:val="24"/>
          <w:szCs w:val="24"/>
        </w:rPr>
        <w:t xml:space="preserve"> </w:t>
      </w:r>
    </w:p>
    <w:tbl>
      <w:tblPr>
        <w:tblW w:w="8722" w:type="dxa"/>
        <w:jc w:val="center"/>
        <w:tblLook w:val="04A0" w:firstRow="1" w:lastRow="0" w:firstColumn="1" w:lastColumn="0" w:noHBand="0" w:noVBand="1"/>
        <w:tblCaption w:val="Table A-5. Speciation factors for non-VOC HAPs. Factors are multiplied by PM25-PRI emissions to estimate emissions for each HAP. "/>
        <w:tblDescription w:val="SCC Description Pollutant Code Pollutant Description Speciation Factor"/>
      </w:tblPr>
      <w:tblGrid>
        <w:gridCol w:w="1508"/>
        <w:gridCol w:w="3162"/>
        <w:gridCol w:w="1250"/>
        <w:gridCol w:w="2039"/>
        <w:gridCol w:w="1391"/>
      </w:tblGrid>
      <w:tr w:rsidR="00190574" w:rsidRPr="00190574" w:rsidTr="00937313">
        <w:trPr>
          <w:trHeight w:val="600"/>
          <w:tblHeader/>
          <w:jc w:val="center"/>
        </w:trPr>
        <w:tc>
          <w:tcPr>
            <w:tcW w:w="1218" w:type="dxa"/>
            <w:tcBorders>
              <w:top w:val="single" w:sz="4" w:space="0" w:color="000000"/>
              <w:left w:val="single" w:sz="4" w:space="0" w:color="000000"/>
              <w:bottom w:val="single" w:sz="4" w:space="0" w:color="000000"/>
              <w:right w:val="single" w:sz="4" w:space="0" w:color="000000"/>
            </w:tcBorders>
            <w:shd w:val="clear" w:color="auto" w:fill="D6291C"/>
            <w:vAlign w:val="bottom"/>
            <w:hideMark/>
          </w:tcPr>
          <w:p w:rsidR="00937313" w:rsidRPr="00190574" w:rsidRDefault="00937313" w:rsidP="00937313">
            <w:pPr>
              <w:ind w:firstLine="0"/>
              <w:jc w:val="center"/>
              <w:rPr>
                <w:b/>
                <w:sz w:val="24"/>
              </w:rPr>
            </w:pPr>
            <w:r w:rsidRPr="00190574">
              <w:rPr>
                <w:b/>
                <w:sz w:val="24"/>
              </w:rPr>
              <w:t>SCC</w:t>
            </w:r>
          </w:p>
        </w:tc>
        <w:tc>
          <w:tcPr>
            <w:tcW w:w="3260" w:type="dxa"/>
            <w:tcBorders>
              <w:top w:val="single" w:sz="4" w:space="0" w:color="000000"/>
              <w:left w:val="nil"/>
              <w:bottom w:val="single" w:sz="4" w:space="0" w:color="000000"/>
              <w:right w:val="single" w:sz="4" w:space="0" w:color="000000"/>
            </w:tcBorders>
            <w:shd w:val="clear" w:color="auto" w:fill="D6291C"/>
            <w:vAlign w:val="bottom"/>
            <w:hideMark/>
          </w:tcPr>
          <w:p w:rsidR="00937313" w:rsidRPr="00190574" w:rsidRDefault="00937313" w:rsidP="00937313">
            <w:pPr>
              <w:ind w:firstLine="0"/>
              <w:jc w:val="center"/>
              <w:rPr>
                <w:b/>
                <w:sz w:val="24"/>
              </w:rPr>
            </w:pPr>
            <w:r w:rsidRPr="00190574">
              <w:rPr>
                <w:b/>
                <w:sz w:val="24"/>
              </w:rPr>
              <w:t>Description</w:t>
            </w:r>
          </w:p>
        </w:tc>
        <w:tc>
          <w:tcPr>
            <w:tcW w:w="1017" w:type="dxa"/>
            <w:tcBorders>
              <w:top w:val="single" w:sz="4" w:space="0" w:color="000000"/>
              <w:left w:val="nil"/>
              <w:bottom w:val="single" w:sz="4" w:space="0" w:color="000000"/>
              <w:right w:val="single" w:sz="4" w:space="0" w:color="000000"/>
            </w:tcBorders>
            <w:shd w:val="clear" w:color="auto" w:fill="D6291C"/>
            <w:vAlign w:val="bottom"/>
            <w:hideMark/>
          </w:tcPr>
          <w:p w:rsidR="00937313" w:rsidRPr="00190574" w:rsidRDefault="00937313" w:rsidP="00937313">
            <w:pPr>
              <w:ind w:firstLine="0"/>
              <w:jc w:val="center"/>
              <w:rPr>
                <w:b/>
                <w:sz w:val="24"/>
              </w:rPr>
            </w:pPr>
            <w:r w:rsidRPr="00190574">
              <w:rPr>
                <w:b/>
                <w:sz w:val="24"/>
              </w:rPr>
              <w:t>Pollutant Code</w:t>
            </w:r>
          </w:p>
        </w:tc>
        <w:tc>
          <w:tcPr>
            <w:tcW w:w="2100" w:type="dxa"/>
            <w:tcBorders>
              <w:top w:val="single" w:sz="4" w:space="0" w:color="000000"/>
              <w:left w:val="nil"/>
              <w:bottom w:val="single" w:sz="4" w:space="0" w:color="000000"/>
              <w:right w:val="single" w:sz="4" w:space="0" w:color="000000"/>
            </w:tcBorders>
            <w:shd w:val="clear" w:color="auto" w:fill="D6291C"/>
            <w:vAlign w:val="bottom"/>
            <w:hideMark/>
          </w:tcPr>
          <w:p w:rsidR="00937313" w:rsidRPr="00190574" w:rsidRDefault="00937313" w:rsidP="00937313">
            <w:pPr>
              <w:ind w:firstLine="0"/>
              <w:jc w:val="center"/>
              <w:rPr>
                <w:b/>
                <w:sz w:val="24"/>
              </w:rPr>
            </w:pPr>
            <w:r w:rsidRPr="00190574">
              <w:rPr>
                <w:b/>
                <w:sz w:val="24"/>
              </w:rPr>
              <w:t>Pollutant Description</w:t>
            </w:r>
          </w:p>
        </w:tc>
        <w:tc>
          <w:tcPr>
            <w:tcW w:w="1127" w:type="dxa"/>
            <w:tcBorders>
              <w:top w:val="single" w:sz="4" w:space="0" w:color="000000"/>
              <w:left w:val="nil"/>
              <w:bottom w:val="single" w:sz="4" w:space="0" w:color="000000"/>
              <w:right w:val="single" w:sz="4" w:space="0" w:color="000000"/>
            </w:tcBorders>
            <w:shd w:val="clear" w:color="auto" w:fill="D6291C"/>
            <w:vAlign w:val="bottom"/>
            <w:hideMark/>
          </w:tcPr>
          <w:p w:rsidR="00937313" w:rsidRPr="00190574" w:rsidRDefault="00937313" w:rsidP="00937313">
            <w:pPr>
              <w:ind w:firstLine="0"/>
              <w:jc w:val="center"/>
              <w:rPr>
                <w:b/>
                <w:sz w:val="24"/>
              </w:rPr>
            </w:pPr>
            <w:r w:rsidRPr="00190574">
              <w:rPr>
                <w:b/>
                <w:sz w:val="24"/>
              </w:rPr>
              <w:t>Speciation Factor</w:t>
            </w:r>
          </w:p>
        </w:tc>
      </w:tr>
      <w:tr w:rsidR="00190574" w:rsidRPr="00190574" w:rsidTr="00937313">
        <w:trPr>
          <w:trHeight w:val="300"/>
          <w:jc w:val="center"/>
        </w:trPr>
        <w:tc>
          <w:tcPr>
            <w:tcW w:w="1218" w:type="dxa"/>
            <w:tcBorders>
              <w:top w:val="single" w:sz="4" w:space="0" w:color="C0C0C0"/>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2102001000</w:t>
            </w:r>
          </w:p>
        </w:tc>
        <w:tc>
          <w:tcPr>
            <w:tcW w:w="3260" w:type="dxa"/>
            <w:tcBorders>
              <w:top w:val="single" w:sz="4" w:space="0" w:color="C0C0C0"/>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Anthracite Coal</w:t>
            </w:r>
          </w:p>
        </w:tc>
        <w:tc>
          <w:tcPr>
            <w:tcW w:w="1017" w:type="dxa"/>
            <w:tcBorders>
              <w:top w:val="single" w:sz="4" w:space="0" w:color="C0C0C0"/>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7440382</w:t>
            </w:r>
          </w:p>
        </w:tc>
        <w:tc>
          <w:tcPr>
            <w:tcW w:w="2100" w:type="dxa"/>
            <w:tcBorders>
              <w:top w:val="single" w:sz="4" w:space="0" w:color="C0C0C0"/>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Arsenic</w:t>
            </w:r>
          </w:p>
        </w:tc>
        <w:tc>
          <w:tcPr>
            <w:tcW w:w="1127" w:type="dxa"/>
            <w:tcBorders>
              <w:top w:val="single" w:sz="4" w:space="0" w:color="C0C0C0"/>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5.47E-05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7440417</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Beryllium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2.80E-06</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7440439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Cadmium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6.81E-06</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18540299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(VI)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4.23E-06</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16065831</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III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3.10E-05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7439965</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Manganese</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6.54E-05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7439976</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Mercury</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1.11E-05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7440020</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Nickel</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3.74E-05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7782492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Selenium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1.73E-04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2102002000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Bitum/Sibbitum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7440382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Arsenic</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1.68E-04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2102002000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Bitum/Sibbitum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7440439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Cadmium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2.09E-05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2102002000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Bitum/Sibbitum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18540299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(VI)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1.28E-05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2102002000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Bitum/Sibbitum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16065831</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III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9.38E-05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2102002000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Bitum/Sibbitum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57125</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Cyanide</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1.02E-03</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7440382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Arsenic</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3.55E-04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7440417</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Beryllium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2.66E-04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7440439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Cadmium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2.66E-04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7440473</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2.66E-04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7439965</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Manganese</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5.32E-04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7439976</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Mercury</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2.66E-04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lastRenderedPageBreak/>
              <w:t>2102004001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7440020</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Nickel</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2.66E-04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7782492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Selenium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1.33E-03</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2102004002</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Distillate IC Engines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7439976</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Mercury</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1.02E-06</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2102004002</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Distillate IC Engines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7440382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Arsenic</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3.70E-05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2102004002</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Distillate IC Engines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7440417</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Beryllium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1.04E-06</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2102004002</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Distillate IC Engines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7440439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Cadmium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1.62E-05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2102004002</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Distillate IC Engines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7440473</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3.70E-05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2102004002</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Distillate IC Engines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7439965</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Manganese</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2.66E-03</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2102004002</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Distillate IC Engines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7440020</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Nickel</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1.55E-05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2102004002</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Distillate IC Engines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7782492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Selenium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8.42E-05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7440382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Arsenic</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9.40E-05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7440417</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Beryllium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2.00E-06</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7440439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Cadmium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2.80E-05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18540299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(VI)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1.08E-05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16065831</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III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4.92E-05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7439965</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Manganese</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2.10E-04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7439976</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Mercury</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8.10E-06</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7440020</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Nickel</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6.00E-03</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7782492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Selenium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4.90E-05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7440382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Arsenic</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3.62E-04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7440417</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Beryllium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2.72E-04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lastRenderedPageBreak/>
              <w:t>2102011000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7440439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Cadmium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2.72E-04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18540299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(VI)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4.89E-05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16065831</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III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2.23E-04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7439965</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Manganese</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5.44E-04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7439976</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Mercury</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2.72E-04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7440020</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Nickel</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2.72E-04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2102011000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Industrial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7782492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Selenium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1.36E-03</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7440382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Arsenic</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5.47E-05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7440417</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Beryllium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2.80E-06</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7440439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Cadmium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6.81E-06</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18540299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(VI)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4.23E-06</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16065831</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III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3.10E-05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7439965</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Manganese</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6.54E-05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7439976</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Mercury</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1.11E-05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7440020</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Nickel</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3.74E-05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Anthracite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7782492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Selenium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1.73E-04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2103002000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Bitum/Subbitum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7440382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Arsenic</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1.68E-04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2103002000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Bitum/Subbitum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7440439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Cadmium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2.09E-05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2103002000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Bitum/Subbitum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18540299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(VI)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1.28E-05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2103002000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Bitum/Subbitum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16065831</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III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9.38E-05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2103002000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Bitum/Subbitum Coal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57125</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Cyanide</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1.02E-03</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lastRenderedPageBreak/>
              <w:t>2103004001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7440382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Arsenic</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2.63E-03</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7440417</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Beryllium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1.97E-03</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7440439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Cadmium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1.97E-03</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18540299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(VI)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3.55E-05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16065831</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(III)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1.62E-04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7439965</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Manganese</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3.94E-03</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7439976</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Mercury</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1.97E-04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7440020</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Nickel</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1.97E-04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2103004001</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Boilers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7782492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Selenium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9.86E-04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2103004002</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IC Engines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7440382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Arsenic</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3.47E-05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2103004002</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IC Engines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7440417</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Beryllium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7.13E-09</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2103004002</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IC Engines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7440439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Cadmium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1.52E-05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2103004002</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IC Engines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7440473</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3.47E-05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2103004002</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IC Engines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7439965</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Manganese</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2.49E-03</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2103004002</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IC Engines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7439976</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Mercury</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3.79E-06</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2103004002</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IC Engines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7440020</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Nickel</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1.45E-05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2103004002</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Distillate IC Engines</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7782492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Selenium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7.90E-05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7440382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Arsenic</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2.00E-04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7440417</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Beryllium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4.26E-06</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7440439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Cadmium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5.96E-05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18540299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(VI)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2.30E-05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lastRenderedPageBreak/>
              <w:t>2103005000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16065831</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III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1.05E-04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7439965</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Manganese</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4.47E-04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7439976</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Mercury</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1.72E-05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7440020</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Nickel</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1.28E-02</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2103005000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Residual Oil</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7782492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Selenium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1.04E-04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7440382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Arsenic</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2.57E-04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7440417</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Beryllium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1.93E-04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7440439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Cadmium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1.93E-04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18540299</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(VI)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3.47E-05</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16065831</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Chromium III</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1.58E-04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7439965</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Manganese</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3.86E-04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7439976</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Mercury</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1.93E-04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7440020</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Nickel</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1.93E-04</w:t>
            </w:r>
          </w:p>
        </w:tc>
      </w:tr>
      <w:tr w:rsidR="00190574" w:rsidRPr="00190574" w:rsidTr="00937313">
        <w:trPr>
          <w:trHeight w:val="300"/>
          <w:jc w:val="center"/>
        </w:trPr>
        <w:tc>
          <w:tcPr>
            <w:tcW w:w="1218" w:type="dxa"/>
            <w:tcBorders>
              <w:top w:val="nil"/>
              <w:left w:val="single" w:sz="4" w:space="0" w:color="C0C0C0"/>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2103011000</w:t>
            </w:r>
          </w:p>
        </w:tc>
        <w:tc>
          <w:tcPr>
            <w:tcW w:w="326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Comm/Inst Kerosene</w:t>
            </w:r>
          </w:p>
        </w:tc>
        <w:tc>
          <w:tcPr>
            <w:tcW w:w="101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7782492</w:t>
            </w:r>
          </w:p>
        </w:tc>
        <w:tc>
          <w:tcPr>
            <w:tcW w:w="2100"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rPr>
                <w:sz w:val="24"/>
              </w:rPr>
            </w:pPr>
            <w:r w:rsidRPr="00190574">
              <w:rPr>
                <w:sz w:val="24"/>
              </w:rPr>
              <w:t>Selenium</w:t>
            </w:r>
          </w:p>
        </w:tc>
        <w:tc>
          <w:tcPr>
            <w:tcW w:w="1127" w:type="dxa"/>
            <w:tcBorders>
              <w:top w:val="nil"/>
              <w:left w:val="nil"/>
              <w:bottom w:val="single" w:sz="4" w:space="0" w:color="C0C0C0"/>
              <w:right w:val="single" w:sz="4" w:space="0" w:color="C0C0C0"/>
            </w:tcBorders>
            <w:shd w:val="clear" w:color="auto" w:fill="auto"/>
            <w:noWrap/>
            <w:vAlign w:val="bottom"/>
            <w:hideMark/>
          </w:tcPr>
          <w:p w:rsidR="00937313" w:rsidRPr="00190574" w:rsidRDefault="00937313" w:rsidP="00937313">
            <w:pPr>
              <w:ind w:firstLine="0"/>
              <w:jc w:val="right"/>
              <w:rPr>
                <w:sz w:val="24"/>
              </w:rPr>
            </w:pPr>
            <w:r w:rsidRPr="00190574">
              <w:rPr>
                <w:sz w:val="24"/>
              </w:rPr>
              <w:t>9.64E-04</w:t>
            </w:r>
          </w:p>
        </w:tc>
      </w:tr>
    </w:tbl>
    <w:p w:rsidR="006A7973" w:rsidRPr="00190574" w:rsidRDefault="006A7973" w:rsidP="006A7973">
      <w:pPr>
        <w:rPr>
          <w:sz w:val="24"/>
        </w:rPr>
      </w:pPr>
    </w:p>
    <w:p w:rsidR="00937313" w:rsidRPr="00190574" w:rsidRDefault="006A7973" w:rsidP="006A7973">
      <w:pPr>
        <w:ind w:firstLine="0"/>
        <w:rPr>
          <w:rFonts w:ascii="Times New Roman" w:hAnsi="Times New Roman"/>
          <w:sz w:val="24"/>
        </w:rPr>
      </w:pPr>
      <w:r w:rsidRPr="00190574">
        <w:rPr>
          <w:i/>
          <w:sz w:val="24"/>
        </w:rPr>
        <w:t>Note:</w:t>
      </w:r>
      <w:r w:rsidRPr="00190574">
        <w:rPr>
          <w:sz w:val="24"/>
        </w:rPr>
        <w:t xml:space="preserve"> Factors are developed by dividing the HAP emission factor (from AP-42) by the emission factor for PM25-PRI.</w:t>
      </w:r>
    </w:p>
    <w:sectPr w:rsidR="00937313" w:rsidRPr="00190574" w:rsidSect="00744C67">
      <w:pgSz w:w="12240" w:h="15840"/>
      <w:pgMar w:top="1440" w:right="1440" w:bottom="1440" w:left="1440" w:header="720" w:footer="720" w:gutter="0"/>
      <w:pgNumType w:chapStyle="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35A7" w:rsidRDefault="002835A7">
      <w:r>
        <w:separator/>
      </w:r>
    </w:p>
  </w:endnote>
  <w:endnote w:type="continuationSeparator" w:id="0">
    <w:p w:rsidR="002835A7" w:rsidRDefault="00283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WP TypographicSymbols">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imes New Roman Bold">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5A7" w:rsidRDefault="002835A7" w:rsidP="001C000E">
    <w:pPr>
      <w:pStyle w:val="Footer"/>
      <w:jc w:val="center"/>
      <w:rPr>
        <w:rStyle w:val="PageNumber"/>
        <w:rFonts w:cs="Arial"/>
      </w:rPr>
    </w:pPr>
  </w:p>
  <w:p w:rsidR="002835A7" w:rsidRPr="008472C9" w:rsidRDefault="002835A7" w:rsidP="001C000E">
    <w:pPr>
      <w:pStyle w:val="Footer"/>
      <w:jc w:val="center"/>
      <w:rPr>
        <w:rFonts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5A7" w:rsidRDefault="002835A7" w:rsidP="001C000E">
    <w:pPr>
      <w:pStyle w:val="Footer"/>
      <w:jc w:val="center"/>
    </w:pPr>
    <w:r>
      <w:rPr>
        <w:rStyle w:val="PageNumber"/>
      </w:rPr>
      <w:t>x.x-</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5A7" w:rsidRPr="00794B35" w:rsidRDefault="002835A7" w:rsidP="00794B35">
    <w:pPr>
      <w:pStyle w:val="Footer"/>
      <w:tabs>
        <w:tab w:val="clear" w:pos="4320"/>
        <w:tab w:val="clear" w:pos="8640"/>
      </w:tabs>
      <w:ind w:firstLine="0"/>
    </w:pPr>
    <w:r w:rsidRPr="00967D7C">
      <w:rPr>
        <w:color w:val="DA291C"/>
      </w:rPr>
      <w:t>Abt Associ</w:t>
    </w:r>
    <w:r>
      <w:rPr>
        <w:color w:val="DA291C"/>
      </w:rPr>
      <w:t xml:space="preserve">ates </w:t>
    </w:r>
    <w:r>
      <w:rPr>
        <w:rStyle w:val="PageNumber"/>
        <w:b/>
      </w:rPr>
      <w:tab/>
      <w:t xml:space="preserve">                                     </w:t>
    </w:r>
    <w:r>
      <w:rPr>
        <w:rStyle w:val="PageNumber"/>
        <w:b/>
      </w:rPr>
      <w:tab/>
    </w:r>
    <w:r>
      <w:rPr>
        <w:rStyle w:val="PageNumber"/>
        <w:b/>
      </w:rPr>
      <w:tab/>
    </w:r>
    <w:r>
      <w:rPr>
        <w:rStyle w:val="PageNumber"/>
        <w:b/>
      </w:rPr>
      <w:tab/>
    </w:r>
    <w:r>
      <w:rPr>
        <w:rStyle w:val="PageNumber"/>
        <w:b/>
      </w:rPr>
      <w:tab/>
    </w:r>
    <w:r>
      <w:rPr>
        <w:rStyle w:val="PageNumber"/>
        <w:b/>
      </w:rPr>
      <w:tab/>
    </w:r>
    <w:r>
      <w:rPr>
        <w:rStyle w:val="PageNumber"/>
        <w:b/>
      </w:rPr>
      <w:tab/>
    </w:r>
    <w:r>
      <w:rPr>
        <w:rStyle w:val="PageNumber"/>
        <w:b/>
      </w:rPr>
      <w:tab/>
      <w:t xml:space="preserve">            </w:t>
    </w:r>
    <w:r>
      <w:rPr>
        <w:rStyle w:val="PageNumber"/>
        <w:rFonts w:cs="Arial"/>
        <w:b/>
      </w:rPr>
      <w:t>▌</w:t>
    </w:r>
    <w:r>
      <w:rPr>
        <w:rStyle w:val="PageNumber"/>
        <w:b/>
      </w:rPr>
      <w:t xml:space="preserve">pg. </w:t>
    </w:r>
    <w:r>
      <w:rPr>
        <w:rStyle w:val="PageNumber"/>
        <w:b/>
        <w:color w:val="DA291C"/>
      </w:rPr>
      <w:fldChar w:fldCharType="begin"/>
    </w:r>
    <w:r>
      <w:rPr>
        <w:rStyle w:val="PageNumber"/>
        <w:b/>
        <w:color w:val="DA291C"/>
      </w:rPr>
      <w:instrText xml:space="preserve"> PAGE  \* roman  \* MERGEFORMAT </w:instrText>
    </w:r>
    <w:r>
      <w:rPr>
        <w:rStyle w:val="PageNumber"/>
        <w:b/>
        <w:color w:val="DA291C"/>
      </w:rPr>
      <w:fldChar w:fldCharType="separate"/>
    </w:r>
    <w:r>
      <w:rPr>
        <w:rStyle w:val="PageNumber"/>
        <w:b/>
        <w:noProof/>
        <w:color w:val="DA291C"/>
      </w:rPr>
      <w:t>i</w:t>
    </w:r>
    <w:r>
      <w:rPr>
        <w:rStyle w:val="PageNumber"/>
        <w:b/>
        <w:color w:val="DA291C"/>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5A7" w:rsidRPr="00794B35" w:rsidRDefault="002835A7" w:rsidP="00892559">
    <w:pPr>
      <w:pStyle w:val="Footer"/>
      <w:pBdr>
        <w:top w:val="single" w:sz="4" w:space="1" w:color="616662"/>
      </w:pBdr>
      <w:tabs>
        <w:tab w:val="clear" w:pos="4320"/>
        <w:tab w:val="clear" w:pos="8640"/>
      </w:tabs>
      <w:ind w:firstLine="0"/>
    </w:pPr>
    <w:r w:rsidRPr="00967D7C">
      <w:rPr>
        <w:color w:val="DA291C"/>
      </w:rPr>
      <w:t>Abt Associ</w:t>
    </w:r>
    <w:r>
      <w:rPr>
        <w:color w:val="DA291C"/>
      </w:rPr>
      <w:t xml:space="preserve">ates </w:t>
    </w:r>
    <w:r>
      <w:rPr>
        <w:rStyle w:val="PageNumber"/>
        <w:b/>
      </w:rPr>
      <w:tab/>
      <w:t xml:space="preserve">                                     </w:t>
    </w:r>
    <w:r>
      <w:rPr>
        <w:rStyle w:val="PageNumber"/>
        <w:b/>
      </w:rPr>
      <w:tab/>
    </w:r>
    <w:r>
      <w:rPr>
        <w:rStyle w:val="PageNumber"/>
        <w:b/>
      </w:rPr>
      <w:tab/>
    </w:r>
    <w:r>
      <w:rPr>
        <w:rStyle w:val="PageNumber"/>
        <w:b/>
      </w:rPr>
      <w:tab/>
    </w:r>
    <w:r>
      <w:rPr>
        <w:rStyle w:val="PageNumber"/>
        <w:b/>
      </w:rPr>
      <w:tab/>
    </w:r>
    <w:r>
      <w:rPr>
        <w:rStyle w:val="PageNumber"/>
        <w:b/>
      </w:rPr>
      <w:tab/>
    </w:r>
    <w:r>
      <w:rPr>
        <w:rStyle w:val="PageNumber"/>
        <w:b/>
      </w:rPr>
      <w:tab/>
    </w:r>
    <w:r>
      <w:rPr>
        <w:rStyle w:val="PageNumber"/>
        <w:b/>
      </w:rPr>
      <w:tab/>
      <w:t xml:space="preserve">            </w:t>
    </w:r>
    <w:r>
      <w:rPr>
        <w:rStyle w:val="PageNumber"/>
        <w:rFonts w:cs="Arial"/>
        <w:b/>
      </w:rPr>
      <w:t>▌</w:t>
    </w:r>
    <w:r>
      <w:rPr>
        <w:rStyle w:val="PageNumber"/>
        <w:b/>
      </w:rPr>
      <w:t xml:space="preserve">pg. </w:t>
    </w:r>
    <w:r>
      <w:rPr>
        <w:rStyle w:val="PageNumber"/>
        <w:b/>
        <w:color w:val="DA291C"/>
      </w:rPr>
      <w:fldChar w:fldCharType="begin"/>
    </w:r>
    <w:r>
      <w:rPr>
        <w:rStyle w:val="PageNumber"/>
        <w:b/>
        <w:color w:val="DA291C"/>
      </w:rPr>
      <w:instrText xml:space="preserve"> PAGE  \* Arabic  \* MERGEFORMAT </w:instrText>
    </w:r>
    <w:r>
      <w:rPr>
        <w:rStyle w:val="PageNumber"/>
        <w:b/>
        <w:color w:val="DA291C"/>
      </w:rPr>
      <w:fldChar w:fldCharType="separate"/>
    </w:r>
    <w:r>
      <w:rPr>
        <w:rStyle w:val="PageNumber"/>
        <w:b/>
        <w:noProof/>
        <w:color w:val="DA291C"/>
      </w:rPr>
      <w:t>16</w:t>
    </w:r>
    <w:r>
      <w:rPr>
        <w:rStyle w:val="PageNumber"/>
        <w:b/>
        <w:color w:val="DA291C"/>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5A7" w:rsidRPr="00794B35" w:rsidRDefault="002835A7" w:rsidP="00794B35">
    <w:pPr>
      <w:pStyle w:val="Footer"/>
      <w:tabs>
        <w:tab w:val="clear" w:pos="4320"/>
        <w:tab w:val="clear" w:pos="8640"/>
      </w:tabs>
      <w:ind w:firstLine="0"/>
    </w:pPr>
    <w:r w:rsidRPr="00967D7C">
      <w:rPr>
        <w:color w:val="DA291C"/>
      </w:rPr>
      <w:t>Abt Associ</w:t>
    </w:r>
    <w:r>
      <w:rPr>
        <w:color w:val="DA291C"/>
      </w:rPr>
      <w:t xml:space="preserve">ates </w:t>
    </w:r>
    <w:r>
      <w:rPr>
        <w:rStyle w:val="PageNumber"/>
        <w:b/>
      </w:rPr>
      <w:tab/>
      <w:t xml:space="preserve">                                     </w:t>
    </w:r>
    <w:r>
      <w:rPr>
        <w:rStyle w:val="PageNumber"/>
        <w:b/>
      </w:rPr>
      <w:tab/>
    </w:r>
    <w:r>
      <w:rPr>
        <w:rStyle w:val="PageNumber"/>
        <w:b/>
      </w:rPr>
      <w:tab/>
    </w:r>
    <w:r>
      <w:rPr>
        <w:rStyle w:val="PageNumber"/>
        <w:b/>
      </w:rPr>
      <w:tab/>
    </w:r>
    <w:r>
      <w:rPr>
        <w:rStyle w:val="PageNumber"/>
        <w:b/>
      </w:rPr>
      <w:tab/>
    </w:r>
    <w:r>
      <w:rPr>
        <w:rStyle w:val="PageNumber"/>
        <w:b/>
      </w:rPr>
      <w:tab/>
    </w:r>
    <w:r>
      <w:rPr>
        <w:rStyle w:val="PageNumber"/>
        <w:b/>
      </w:rPr>
      <w:tab/>
    </w:r>
    <w:r>
      <w:rPr>
        <w:rStyle w:val="PageNumber"/>
        <w:b/>
      </w:rPr>
      <w:tab/>
      <w:t xml:space="preserve">            </w:t>
    </w:r>
    <w:r>
      <w:rPr>
        <w:rStyle w:val="PageNumber"/>
        <w:b/>
      </w:rPr>
      <w:tab/>
    </w:r>
    <w:r>
      <w:rPr>
        <w:rStyle w:val="PageNumber"/>
        <w:b/>
      </w:rPr>
      <w:tab/>
    </w:r>
    <w:r>
      <w:rPr>
        <w:rStyle w:val="PageNumber"/>
        <w:b/>
      </w:rPr>
      <w:tab/>
    </w:r>
    <w:r>
      <w:rPr>
        <w:rStyle w:val="PageNumber"/>
        <w:b/>
      </w:rPr>
      <w:tab/>
    </w:r>
    <w:r>
      <w:rPr>
        <w:rStyle w:val="PageNumber"/>
        <w:b/>
      </w:rPr>
      <w:tab/>
      <w:t xml:space="preserve">            </w:t>
    </w:r>
    <w:r>
      <w:rPr>
        <w:rStyle w:val="PageNumber"/>
        <w:rFonts w:cs="Arial"/>
        <w:b/>
      </w:rPr>
      <w:t>▌</w:t>
    </w:r>
    <w:r>
      <w:rPr>
        <w:rStyle w:val="PageNumber"/>
        <w:b/>
      </w:rPr>
      <w:t xml:space="preserve">pg. </w:t>
    </w:r>
    <w:r>
      <w:rPr>
        <w:rStyle w:val="PageNumber"/>
        <w:b/>
        <w:color w:val="DA291C"/>
      </w:rPr>
      <w:fldChar w:fldCharType="begin"/>
    </w:r>
    <w:r>
      <w:rPr>
        <w:rStyle w:val="PageNumber"/>
        <w:b/>
        <w:color w:val="DA291C"/>
      </w:rPr>
      <w:instrText xml:space="preserve"> PAGE  \* Arabic  \* MERGEFORMAT </w:instrText>
    </w:r>
    <w:r>
      <w:rPr>
        <w:rStyle w:val="PageNumber"/>
        <w:b/>
        <w:color w:val="DA291C"/>
      </w:rPr>
      <w:fldChar w:fldCharType="separate"/>
    </w:r>
    <w:r>
      <w:rPr>
        <w:rStyle w:val="PageNumber"/>
        <w:b/>
        <w:noProof/>
        <w:color w:val="DA291C"/>
      </w:rPr>
      <w:t>17</w:t>
    </w:r>
    <w:r>
      <w:rPr>
        <w:rStyle w:val="PageNumber"/>
        <w:b/>
        <w:color w:val="DA291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35A7" w:rsidRDefault="002835A7">
      <w:r>
        <w:separator/>
      </w:r>
    </w:p>
  </w:footnote>
  <w:footnote w:type="continuationSeparator" w:id="0">
    <w:p w:rsidR="002835A7" w:rsidRDefault="002835A7">
      <w:r>
        <w:continuationSeparator/>
      </w:r>
    </w:p>
  </w:footnote>
  <w:footnote w:id="1">
    <w:p w:rsidR="002835A7" w:rsidRPr="004C59D3" w:rsidRDefault="002835A7" w:rsidP="00F346E7">
      <w:pPr>
        <w:pStyle w:val="FootnoteText"/>
        <w:ind w:firstLine="0"/>
        <w:rPr>
          <w:rFonts w:ascii="Times New Roman" w:hAnsi="Times New Roman"/>
          <w:sz w:val="22"/>
        </w:rPr>
      </w:pPr>
      <w:r w:rsidRPr="004C59D3">
        <w:rPr>
          <w:rStyle w:val="FootnoteReference"/>
          <w:rFonts w:ascii="Times New Roman" w:hAnsi="Times New Roman"/>
          <w:sz w:val="22"/>
        </w:rPr>
        <w:footnoteRef/>
      </w:r>
      <w:r w:rsidRPr="004C59D3">
        <w:rPr>
          <w:rFonts w:ascii="Times New Roman" w:hAnsi="Times New Roman"/>
          <w:sz w:val="22"/>
        </w:rPr>
        <w:t xml:space="preserve"> For natural gas, for example – EIA-176 “Annual Report of Natural and Supplemental Gas Supply and Disposition.” </w:t>
      </w:r>
    </w:p>
  </w:footnote>
  <w:footnote w:id="2">
    <w:p w:rsidR="002835A7" w:rsidRDefault="002835A7" w:rsidP="00F346E7">
      <w:pPr>
        <w:pStyle w:val="FootnoteText"/>
        <w:ind w:firstLine="0"/>
      </w:pPr>
      <w:r w:rsidRPr="004C59D3">
        <w:rPr>
          <w:rStyle w:val="FootnoteReference"/>
          <w:rFonts w:ascii="Times New Roman" w:hAnsi="Times New Roman"/>
          <w:sz w:val="22"/>
        </w:rPr>
        <w:footnoteRef/>
      </w:r>
      <w:r w:rsidRPr="004C59D3">
        <w:rPr>
          <w:rFonts w:ascii="Times New Roman" w:hAnsi="Times New Roman"/>
          <w:sz w:val="22"/>
        </w:rPr>
        <w:t xml:space="preserve"> County-level federal and state government employment data are not available from the Bureau of the Census.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5A7" w:rsidRPr="00B507BD" w:rsidRDefault="002835A7" w:rsidP="001C000E">
    <w:pPr>
      <w:pStyle w:val="Header"/>
      <w:tabs>
        <w:tab w:val="clear" w:pos="4320"/>
        <w:tab w:val="clear" w:pos="8640"/>
        <w:tab w:val="right" w:pos="9360"/>
      </w:tabs>
      <w:ind w:firstLine="0"/>
      <w:jc w:val="center"/>
      <w:rPr>
        <w:i/>
        <w:sz w:val="18"/>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5A7" w:rsidRPr="006629C8" w:rsidRDefault="002835A7" w:rsidP="006629C8">
    <w:pPr>
      <w:pBdr>
        <w:bottom w:val="single" w:sz="12" w:space="1" w:color="898D8D"/>
      </w:pBdr>
      <w:tabs>
        <w:tab w:val="center" w:pos="4507"/>
        <w:tab w:val="right" w:pos="9000"/>
      </w:tabs>
      <w:spacing w:after="180" w:line="264" w:lineRule="auto"/>
      <w:ind w:firstLine="0"/>
      <w:jc w:val="right"/>
      <w:rPr>
        <w:b/>
        <w:color w:val="595959"/>
        <w:sz w:val="24"/>
        <w:szCs w:val="20"/>
      </w:rPr>
    </w:pPr>
    <w:r>
      <w:rPr>
        <w:b/>
        <w:color w:val="595959"/>
        <w:sz w:val="24"/>
        <w:szCs w:val="20"/>
      </w:rPr>
      <w:t>APPENDIX A</w:t>
    </w:r>
  </w:p>
  <w:p w:rsidR="002835A7" w:rsidRPr="00B507BD" w:rsidRDefault="002835A7" w:rsidP="001C000E">
    <w:pPr>
      <w:pStyle w:val="Header"/>
      <w:tabs>
        <w:tab w:val="clear" w:pos="4320"/>
        <w:tab w:val="clear" w:pos="8640"/>
        <w:tab w:val="right" w:pos="9360"/>
      </w:tabs>
      <w:ind w:firstLine="0"/>
      <w:jc w:val="center"/>
      <w:rPr>
        <w: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5A7" w:rsidRDefault="002835A7">
    <w:pPr>
      <w:pStyle w:val="Header"/>
    </w:pPr>
    <w:r>
      <w:rPr>
        <w:rFonts w:cs="Arial"/>
        <w:b/>
      </w:rPr>
      <w:t>X</w:t>
    </w:r>
    <w:r w:rsidRPr="00125085">
      <w:rPr>
        <w:rFonts w:cs="Arial"/>
        <w:b/>
      </w:rPr>
      <w:t>.</w:t>
    </w:r>
    <w:r>
      <w:rPr>
        <w:rFonts w:cs="Arial"/>
        <w:b/>
      </w:rPr>
      <w:t>X</w:t>
    </w:r>
    <w:r>
      <w:rPr>
        <w:rFonts w:cs="Arial"/>
        <w:b/>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5A7" w:rsidRPr="00794B35" w:rsidRDefault="002835A7" w:rsidP="00794B35">
    <w:pPr>
      <w:pBdr>
        <w:bottom w:val="single" w:sz="12" w:space="1" w:color="898D8D"/>
      </w:pBdr>
      <w:tabs>
        <w:tab w:val="center" w:pos="4507"/>
        <w:tab w:val="right" w:pos="9000"/>
      </w:tabs>
      <w:spacing w:after="180" w:line="264" w:lineRule="auto"/>
      <w:ind w:firstLine="0"/>
      <w:jc w:val="right"/>
      <w:rPr>
        <w:b/>
        <w:color w:val="595959"/>
        <w:sz w:val="24"/>
        <w:szCs w:val="20"/>
      </w:rPr>
    </w:pPr>
    <w:r>
      <w:rPr>
        <w:b/>
        <w:color w:val="595959"/>
        <w:sz w:val="24"/>
        <w:szCs w:val="20"/>
      </w:rPr>
      <w:t>CONTENTS</w:t>
    </w:r>
  </w:p>
  <w:p w:rsidR="002835A7" w:rsidRPr="00794B35" w:rsidRDefault="002835A7" w:rsidP="00794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5A7" w:rsidRPr="006629C8" w:rsidRDefault="002835A7" w:rsidP="006629C8">
    <w:pPr>
      <w:pBdr>
        <w:bottom w:val="single" w:sz="12" w:space="1" w:color="898D8D"/>
      </w:pBdr>
      <w:tabs>
        <w:tab w:val="center" w:pos="4507"/>
        <w:tab w:val="right" w:pos="9000"/>
      </w:tabs>
      <w:spacing w:after="180" w:line="264" w:lineRule="auto"/>
      <w:ind w:firstLine="0"/>
      <w:jc w:val="right"/>
      <w:rPr>
        <w:b/>
        <w:color w:val="595959"/>
        <w:sz w:val="24"/>
        <w:szCs w:val="20"/>
      </w:rPr>
    </w:pPr>
    <w:r>
      <w:rPr>
        <w:b/>
        <w:color w:val="595959"/>
        <w:sz w:val="24"/>
        <w:szCs w:val="20"/>
      </w:rPr>
      <w:t>INTRODUCTION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5A7" w:rsidRPr="006629C8" w:rsidRDefault="002835A7" w:rsidP="006629C8">
    <w:pPr>
      <w:pBdr>
        <w:bottom w:val="single" w:sz="12" w:space="1" w:color="898D8D"/>
      </w:pBdr>
      <w:tabs>
        <w:tab w:val="center" w:pos="4507"/>
        <w:tab w:val="right" w:pos="9000"/>
      </w:tabs>
      <w:spacing w:after="180" w:line="264" w:lineRule="auto"/>
      <w:ind w:firstLine="0"/>
      <w:jc w:val="right"/>
      <w:rPr>
        <w:b/>
        <w:color w:val="595959"/>
        <w:sz w:val="24"/>
        <w:szCs w:val="20"/>
      </w:rPr>
    </w:pPr>
    <w:r>
      <w:rPr>
        <w:b/>
        <w:color w:val="595959"/>
        <w:sz w:val="24"/>
        <w:szCs w:val="20"/>
      </w:rPr>
      <w:t>SCC AND POLLUTANTS INCLUDED IN ICI TOOL</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5A7" w:rsidRPr="006629C8" w:rsidRDefault="002835A7" w:rsidP="006629C8">
    <w:pPr>
      <w:pBdr>
        <w:bottom w:val="single" w:sz="12" w:space="1" w:color="898D8D"/>
      </w:pBdr>
      <w:tabs>
        <w:tab w:val="center" w:pos="4507"/>
        <w:tab w:val="right" w:pos="9000"/>
      </w:tabs>
      <w:spacing w:after="180" w:line="264" w:lineRule="auto"/>
      <w:ind w:firstLine="0"/>
      <w:jc w:val="right"/>
      <w:rPr>
        <w:b/>
        <w:color w:val="595959"/>
        <w:sz w:val="24"/>
        <w:szCs w:val="20"/>
      </w:rPr>
    </w:pPr>
    <w:r>
      <w:rPr>
        <w:b/>
        <w:color w:val="595959"/>
        <w:sz w:val="24"/>
        <w:szCs w:val="20"/>
      </w:rPr>
      <w:t>COUNTY ALLOCATION OF STATE ACTIVITY</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5A7" w:rsidRPr="006629C8" w:rsidRDefault="002835A7" w:rsidP="006629C8">
    <w:pPr>
      <w:pBdr>
        <w:bottom w:val="single" w:sz="12" w:space="1" w:color="898D8D"/>
      </w:pBdr>
      <w:tabs>
        <w:tab w:val="center" w:pos="4507"/>
        <w:tab w:val="right" w:pos="9000"/>
      </w:tabs>
      <w:spacing w:after="180" w:line="264" w:lineRule="auto"/>
      <w:ind w:firstLine="0"/>
      <w:jc w:val="right"/>
      <w:rPr>
        <w:b/>
        <w:color w:val="595959"/>
        <w:sz w:val="24"/>
        <w:szCs w:val="20"/>
      </w:rPr>
    </w:pPr>
    <w:r>
      <w:rPr>
        <w:b/>
        <w:color w:val="595959"/>
        <w:sz w:val="24"/>
        <w:szCs w:val="20"/>
      </w:rPr>
      <w:t>EMISSION FACTORS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5A7" w:rsidRPr="006629C8" w:rsidRDefault="002835A7" w:rsidP="006629C8">
    <w:pPr>
      <w:pBdr>
        <w:bottom w:val="single" w:sz="12" w:space="1" w:color="898D8D"/>
      </w:pBdr>
      <w:tabs>
        <w:tab w:val="center" w:pos="4507"/>
        <w:tab w:val="right" w:pos="9000"/>
      </w:tabs>
      <w:spacing w:after="180" w:line="264" w:lineRule="auto"/>
      <w:ind w:firstLine="0"/>
      <w:jc w:val="right"/>
      <w:rPr>
        <w:b/>
        <w:color w:val="595959"/>
        <w:sz w:val="24"/>
        <w:szCs w:val="20"/>
      </w:rPr>
    </w:pPr>
    <w:r>
      <w:rPr>
        <w:b/>
        <w:color w:val="595959"/>
        <w:sz w:val="24"/>
        <w:szCs w:val="20"/>
      </w:rPr>
      <w:t>RUNNING THE ICI TOOL</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5A7" w:rsidRPr="006629C8" w:rsidRDefault="002835A7" w:rsidP="006629C8">
    <w:pPr>
      <w:pBdr>
        <w:bottom w:val="single" w:sz="12" w:space="1" w:color="898D8D"/>
      </w:pBdr>
      <w:tabs>
        <w:tab w:val="center" w:pos="4507"/>
        <w:tab w:val="right" w:pos="9000"/>
      </w:tabs>
      <w:spacing w:after="180" w:line="264" w:lineRule="auto"/>
      <w:ind w:firstLine="0"/>
      <w:jc w:val="right"/>
      <w:rPr>
        <w:b/>
        <w:color w:val="595959"/>
        <w:sz w:val="24"/>
        <w:szCs w:val="20"/>
      </w:rPr>
    </w:pPr>
    <w:r>
      <w:rPr>
        <w:b/>
        <w:color w:val="595959"/>
        <w:sz w:val="24"/>
        <w:szCs w:val="20"/>
      </w:rPr>
      <w:t>REFERENCES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0DCDF7D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_ERGleaf_New Green.jpg" style="width:117pt;height:126pt;visibility:visible" o:bullet="t">
        <v:imagedata r:id="rId1" o:title=""/>
      </v:shape>
    </w:pict>
  </w:numPicBullet>
  <w:abstractNum w:abstractNumId="0" w15:restartNumberingAfterBreak="0">
    <w:nsid w:val="FFFFFF1D"/>
    <w:multiLevelType w:val="multilevel"/>
    <w:tmpl w:val="3294A66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94476C8"/>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E00CC068"/>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4F4ED1B4"/>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8FB800AA"/>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DB4C9A88"/>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060E9CBA"/>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DAA2A68"/>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7D40929A"/>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132CF55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53F0B342"/>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E222AF5E"/>
    <w:lvl w:ilvl="0">
      <w:numFmt w:val="bullet"/>
      <w:pStyle w:val="R-bullet"/>
      <w:lvlText w:val="*"/>
      <w:lvlJc w:val="left"/>
    </w:lvl>
  </w:abstractNum>
  <w:abstractNum w:abstractNumId="12" w15:restartNumberingAfterBreak="0">
    <w:nsid w:val="05792E41"/>
    <w:multiLevelType w:val="hybridMultilevel"/>
    <w:tmpl w:val="5A60A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9E56DC"/>
    <w:multiLevelType w:val="hybridMultilevel"/>
    <w:tmpl w:val="8C1EBE42"/>
    <w:lvl w:ilvl="0" w:tplc="769CB1B8">
      <w:start w:val="4"/>
      <w:numFmt w:val="bullet"/>
      <w:lvlText w:val=""/>
      <w:lvlJc w:val="left"/>
      <w:pPr>
        <w:tabs>
          <w:tab w:val="num" w:pos="720"/>
        </w:tabs>
        <w:ind w:left="720" w:hanging="360"/>
      </w:pPr>
      <w:rPr>
        <w:rFonts w:ascii="Symbol" w:eastAsia="Times New Roman" w:hAnsi="Symbol" w:cs="Times New Roman"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B4240"/>
    <w:multiLevelType w:val="hybridMultilevel"/>
    <w:tmpl w:val="7D1C0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2A3279"/>
    <w:multiLevelType w:val="hybridMultilevel"/>
    <w:tmpl w:val="2CD8B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75552C"/>
    <w:multiLevelType w:val="multilevel"/>
    <w:tmpl w:val="A69AFCC4"/>
    <w:lvl w:ilvl="0">
      <w:start w:val="1"/>
      <w:numFmt w:val="decimal"/>
      <w:lvlText w:val="%1.0"/>
      <w:lvlJc w:val="left"/>
      <w:pPr>
        <w:tabs>
          <w:tab w:val="num" w:pos="1440"/>
        </w:tabs>
        <w:ind w:left="1440" w:hanging="1440"/>
      </w:pPr>
    </w:lvl>
    <w:lvl w:ilvl="1">
      <w:start w:val="1"/>
      <w:numFmt w:val="decimal"/>
      <w:lvlText w:val="%2.0"/>
      <w:lvlJc w:val="left"/>
      <w:pPr>
        <w:tabs>
          <w:tab w:val="num" w:pos="1440"/>
        </w:tabs>
        <w:ind w:left="1440" w:hanging="1440"/>
      </w:pPr>
    </w:lvl>
    <w:lvl w:ilvl="2">
      <w:start w:val="1"/>
      <w:numFmt w:val="none"/>
      <w:lvlText w:val="1.1"/>
      <w:lvlJc w:val="left"/>
      <w:pPr>
        <w:tabs>
          <w:tab w:val="num" w:pos="1440"/>
        </w:tabs>
        <w:ind w:left="1440" w:hanging="1440"/>
      </w:pPr>
      <w:rPr>
        <w:rFonts w:ascii="Arial Bold" w:hAnsi="Arial Bold" w:hint="default"/>
        <w:b/>
        <w:i w:val="0"/>
        <w:sz w:val="32"/>
      </w:rPr>
    </w:lvl>
    <w:lvl w:ilvl="3">
      <w:start w:val="1"/>
      <w:numFmt w:val="decimal"/>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9B56229"/>
    <w:multiLevelType w:val="hybridMultilevel"/>
    <w:tmpl w:val="F92CBE00"/>
    <w:lvl w:ilvl="0" w:tplc="A3F8FCF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3D5950"/>
    <w:multiLevelType w:val="multilevel"/>
    <w:tmpl w:val="10EC8DCE"/>
    <w:lvl w:ilvl="0">
      <w:start w:val="1"/>
      <w:numFmt w:val="bullet"/>
      <w:pStyle w:val="CharCharChar"/>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7E2CD8"/>
    <w:multiLevelType w:val="multilevel"/>
    <w:tmpl w:val="447463CE"/>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37E04050"/>
    <w:multiLevelType w:val="multilevel"/>
    <w:tmpl w:val="119845A8"/>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876397A"/>
    <w:multiLevelType w:val="multilevel"/>
    <w:tmpl w:val="975663BE"/>
    <w:lvl w:ilvl="0">
      <w:start w:val="7"/>
      <w:numFmt w:val="decimal"/>
      <w:lvlText w:val="%1.0"/>
      <w:lvlJc w:val="left"/>
      <w:pPr>
        <w:tabs>
          <w:tab w:val="num" w:pos="390"/>
        </w:tabs>
        <w:ind w:left="390" w:hanging="390"/>
      </w:pPr>
      <w:rPr>
        <w:rFonts w:hint="default"/>
      </w:rPr>
    </w:lvl>
    <w:lvl w:ilvl="1">
      <w:start w:val="1"/>
      <w:numFmt w:val="decimal"/>
      <w:lvlText w:val="%1.%2"/>
      <w:lvlJc w:val="left"/>
      <w:pPr>
        <w:tabs>
          <w:tab w:val="num" w:pos="1110"/>
        </w:tabs>
        <w:ind w:left="1110"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3F0432E0"/>
    <w:multiLevelType w:val="hybridMultilevel"/>
    <w:tmpl w:val="DC067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A50FC6"/>
    <w:multiLevelType w:val="hybridMultilevel"/>
    <w:tmpl w:val="C7408A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7415604"/>
    <w:multiLevelType w:val="hybridMultilevel"/>
    <w:tmpl w:val="F386172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EC28F8"/>
    <w:multiLevelType w:val="hybridMultilevel"/>
    <w:tmpl w:val="C32CFA9C"/>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AA6136"/>
    <w:multiLevelType w:val="hybridMultilevel"/>
    <w:tmpl w:val="FC062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E1AA8"/>
    <w:multiLevelType w:val="multilevel"/>
    <w:tmpl w:val="AE543F34"/>
    <w:lvl w:ilvl="0">
      <w:start w:val="2"/>
      <w:numFmt w:val="decimal"/>
      <w:lvlText w:val="%1.0"/>
      <w:lvlJc w:val="left"/>
      <w:pPr>
        <w:tabs>
          <w:tab w:val="num" w:pos="360"/>
        </w:tabs>
        <w:ind w:left="360" w:hanging="360"/>
      </w:pPr>
      <w:rPr>
        <w:rFonts w:hint="default"/>
        <w:sz w:val="24"/>
      </w:rPr>
    </w:lvl>
    <w:lvl w:ilvl="1">
      <w:start w:val="1"/>
      <w:numFmt w:val="decimal"/>
      <w:lvlText w:val="%1.%2"/>
      <w:lvlJc w:val="left"/>
      <w:pPr>
        <w:tabs>
          <w:tab w:val="num" w:pos="1080"/>
        </w:tabs>
        <w:ind w:left="1080" w:hanging="36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8" w15:restartNumberingAfterBreak="0">
    <w:nsid w:val="58AD330F"/>
    <w:multiLevelType w:val="hybridMultilevel"/>
    <w:tmpl w:val="F264A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4A686B"/>
    <w:multiLevelType w:val="multilevel"/>
    <w:tmpl w:val="FABCB7DA"/>
    <w:lvl w:ilvl="0">
      <w:start w:val="1"/>
      <w:numFmt w:val="decimal"/>
      <w:lvlText w:val="%1."/>
      <w:lvlJc w:val="left"/>
      <w:pPr>
        <w:tabs>
          <w:tab w:val="num" w:pos="720"/>
        </w:tabs>
        <w:ind w:left="720" w:hanging="720"/>
      </w:pPr>
      <w:rPr>
        <w:rFonts w:hint="default"/>
      </w:rPr>
    </w:lvl>
    <w:lvl w:ilv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800" w:hanging="108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DFA542F"/>
    <w:multiLevelType w:val="hybridMultilevel"/>
    <w:tmpl w:val="B224AE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294780"/>
    <w:multiLevelType w:val="hybridMultilevel"/>
    <w:tmpl w:val="73C6D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66764C"/>
    <w:multiLevelType w:val="hybridMultilevel"/>
    <w:tmpl w:val="3E22EE7A"/>
    <w:lvl w:ilvl="0" w:tplc="0409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E81FF7"/>
    <w:multiLevelType w:val="hybridMultilevel"/>
    <w:tmpl w:val="5CEAED2C"/>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8A2A90"/>
    <w:multiLevelType w:val="hybridMultilevel"/>
    <w:tmpl w:val="5A668610"/>
    <w:lvl w:ilvl="0" w:tplc="04090001">
      <w:start w:val="1"/>
      <w:numFmt w:val="bullet"/>
      <w:pStyle w:val="Bulletleaf"/>
      <w:lvlText w:val=""/>
      <w:lvlPicBulletId w:val="0"/>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BB58F0"/>
    <w:multiLevelType w:val="hybridMultilevel"/>
    <w:tmpl w:val="CD2A406A"/>
    <w:lvl w:ilvl="0" w:tplc="04090001">
      <w:start w:val="8"/>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CF7854"/>
    <w:multiLevelType w:val="hybridMultilevel"/>
    <w:tmpl w:val="226E3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13"/>
  </w:num>
  <w:num w:numId="4">
    <w:abstractNumId w:val="24"/>
  </w:num>
  <w:num w:numId="5">
    <w:abstractNumId w:val="19"/>
  </w:num>
  <w:num w:numId="6">
    <w:abstractNumId w:val="21"/>
  </w:num>
  <w:num w:numId="7">
    <w:abstractNumId w:val="35"/>
  </w:num>
  <w:num w:numId="8">
    <w:abstractNumId w:val="25"/>
  </w:num>
  <w:num w:numId="9">
    <w:abstractNumId w:val="33"/>
  </w:num>
  <w:num w:numId="10">
    <w:abstractNumId w:val="10"/>
  </w:num>
  <w:num w:numId="11">
    <w:abstractNumId w:val="8"/>
  </w:num>
  <w:num w:numId="12">
    <w:abstractNumId w:val="7"/>
  </w:num>
  <w:num w:numId="13">
    <w:abstractNumId w:val="6"/>
  </w:num>
  <w:num w:numId="14">
    <w:abstractNumId w:val="5"/>
  </w:num>
  <w:num w:numId="15">
    <w:abstractNumId w:val="9"/>
  </w:num>
  <w:num w:numId="16">
    <w:abstractNumId w:val="4"/>
  </w:num>
  <w:num w:numId="17">
    <w:abstractNumId w:val="3"/>
  </w:num>
  <w:num w:numId="18">
    <w:abstractNumId w:val="2"/>
  </w:num>
  <w:num w:numId="19">
    <w:abstractNumId w:val="1"/>
  </w:num>
  <w:num w:numId="20">
    <w:abstractNumId w:val="0"/>
  </w:num>
  <w:num w:numId="21">
    <w:abstractNumId w:val="22"/>
  </w:num>
  <w:num w:numId="22">
    <w:abstractNumId w:val="26"/>
  </w:num>
  <w:num w:numId="23">
    <w:abstractNumId w:val="16"/>
  </w:num>
  <w:num w:numId="24">
    <w:abstractNumId w:val="11"/>
    <w:lvlOverride w:ilvl="0">
      <w:lvl w:ilvl="0">
        <w:numFmt w:val="bullet"/>
        <w:pStyle w:val="R-bullet"/>
        <w:lvlText w:val="$"/>
        <w:legacy w:legacy="1" w:legacySpace="0" w:legacyIndent="360"/>
        <w:lvlJc w:val="left"/>
        <w:pPr>
          <w:ind w:left="360" w:hanging="360"/>
        </w:pPr>
        <w:rPr>
          <w:rFonts w:ascii="WP TypographicSymbols" w:hAnsi="WP TypographicSymbols" w:hint="default"/>
        </w:rPr>
      </w:lvl>
    </w:lvlOverride>
  </w:num>
  <w:num w:numId="25">
    <w:abstractNumId w:val="34"/>
  </w:num>
  <w:num w:numId="26">
    <w:abstractNumId w:val="17"/>
  </w:num>
  <w:num w:numId="27">
    <w:abstractNumId w:val="29"/>
  </w:num>
  <w:num w:numId="28">
    <w:abstractNumId w:val="32"/>
  </w:num>
  <w:num w:numId="29">
    <w:abstractNumId w:val="18"/>
  </w:num>
  <w:num w:numId="30">
    <w:abstractNumId w:val="36"/>
  </w:num>
  <w:num w:numId="31">
    <w:abstractNumId w:val="23"/>
  </w:num>
  <w:num w:numId="32">
    <w:abstractNumId w:val="12"/>
  </w:num>
  <w:num w:numId="33">
    <w:abstractNumId w:val="15"/>
  </w:num>
  <w:num w:numId="34">
    <w:abstractNumId w:val="31"/>
  </w:num>
  <w:num w:numId="35">
    <w:abstractNumId w:val="28"/>
  </w:num>
  <w:num w:numId="36">
    <w:abstractNumId w:val="14"/>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6" w:nlCheck="1" w:checkStyle="1"/>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5A8"/>
    <w:rsid w:val="00005141"/>
    <w:rsid w:val="00021291"/>
    <w:rsid w:val="000622E7"/>
    <w:rsid w:val="0008053F"/>
    <w:rsid w:val="00095158"/>
    <w:rsid w:val="000C1C3B"/>
    <w:rsid w:val="000F5612"/>
    <w:rsid w:val="00101AF0"/>
    <w:rsid w:val="0010313C"/>
    <w:rsid w:val="00134412"/>
    <w:rsid w:val="00145EF4"/>
    <w:rsid w:val="00152E6A"/>
    <w:rsid w:val="0016507E"/>
    <w:rsid w:val="00166501"/>
    <w:rsid w:val="00190574"/>
    <w:rsid w:val="00192C6B"/>
    <w:rsid w:val="001C000E"/>
    <w:rsid w:val="001C17C8"/>
    <w:rsid w:val="001C5A31"/>
    <w:rsid w:val="001C7751"/>
    <w:rsid w:val="001D0850"/>
    <w:rsid w:val="001F0E96"/>
    <w:rsid w:val="0021591B"/>
    <w:rsid w:val="00222FC2"/>
    <w:rsid w:val="00232E18"/>
    <w:rsid w:val="002540C4"/>
    <w:rsid w:val="002835A7"/>
    <w:rsid w:val="002935A8"/>
    <w:rsid w:val="002B75B3"/>
    <w:rsid w:val="002C599E"/>
    <w:rsid w:val="002D0EC2"/>
    <w:rsid w:val="002D2904"/>
    <w:rsid w:val="00316D24"/>
    <w:rsid w:val="00323F60"/>
    <w:rsid w:val="0033106F"/>
    <w:rsid w:val="00371A26"/>
    <w:rsid w:val="00373402"/>
    <w:rsid w:val="00373988"/>
    <w:rsid w:val="00381BBD"/>
    <w:rsid w:val="003822EA"/>
    <w:rsid w:val="003B24CF"/>
    <w:rsid w:val="00416E68"/>
    <w:rsid w:val="004416B6"/>
    <w:rsid w:val="004A6812"/>
    <w:rsid w:val="004C59D3"/>
    <w:rsid w:val="004C60B3"/>
    <w:rsid w:val="004D05AA"/>
    <w:rsid w:val="00591FC0"/>
    <w:rsid w:val="005A4DFA"/>
    <w:rsid w:val="005B1853"/>
    <w:rsid w:val="005C3844"/>
    <w:rsid w:val="006100DB"/>
    <w:rsid w:val="00661C47"/>
    <w:rsid w:val="006629C8"/>
    <w:rsid w:val="006A294F"/>
    <w:rsid w:val="006A7973"/>
    <w:rsid w:val="00706C76"/>
    <w:rsid w:val="00712B9B"/>
    <w:rsid w:val="00720614"/>
    <w:rsid w:val="007348C4"/>
    <w:rsid w:val="00744C67"/>
    <w:rsid w:val="00776B74"/>
    <w:rsid w:val="00777D33"/>
    <w:rsid w:val="0078266C"/>
    <w:rsid w:val="00794B35"/>
    <w:rsid w:val="007C1542"/>
    <w:rsid w:val="007C62D2"/>
    <w:rsid w:val="007D212C"/>
    <w:rsid w:val="007D6A50"/>
    <w:rsid w:val="00827282"/>
    <w:rsid w:val="00833343"/>
    <w:rsid w:val="00844D4C"/>
    <w:rsid w:val="00872230"/>
    <w:rsid w:val="00877112"/>
    <w:rsid w:val="00892559"/>
    <w:rsid w:val="008E371B"/>
    <w:rsid w:val="008F64D7"/>
    <w:rsid w:val="009034FD"/>
    <w:rsid w:val="00911FCC"/>
    <w:rsid w:val="00934834"/>
    <w:rsid w:val="00937313"/>
    <w:rsid w:val="00947CD4"/>
    <w:rsid w:val="00951E15"/>
    <w:rsid w:val="009D1A2E"/>
    <w:rsid w:val="00A17563"/>
    <w:rsid w:val="00A269EF"/>
    <w:rsid w:val="00A5046D"/>
    <w:rsid w:val="00A63A36"/>
    <w:rsid w:val="00A74EB8"/>
    <w:rsid w:val="00A87DBC"/>
    <w:rsid w:val="00AC4249"/>
    <w:rsid w:val="00AD5D4E"/>
    <w:rsid w:val="00AE48FE"/>
    <w:rsid w:val="00B11A57"/>
    <w:rsid w:val="00B36E45"/>
    <w:rsid w:val="00BB27A8"/>
    <w:rsid w:val="00BC428B"/>
    <w:rsid w:val="00BF3199"/>
    <w:rsid w:val="00C0703B"/>
    <w:rsid w:val="00C073A1"/>
    <w:rsid w:val="00C40430"/>
    <w:rsid w:val="00C437BF"/>
    <w:rsid w:val="00C476AF"/>
    <w:rsid w:val="00C5735F"/>
    <w:rsid w:val="00C674E8"/>
    <w:rsid w:val="00CC4CBE"/>
    <w:rsid w:val="00CD174D"/>
    <w:rsid w:val="00CD2321"/>
    <w:rsid w:val="00CE551B"/>
    <w:rsid w:val="00D258CE"/>
    <w:rsid w:val="00D370DC"/>
    <w:rsid w:val="00D41C17"/>
    <w:rsid w:val="00D4369C"/>
    <w:rsid w:val="00D943A0"/>
    <w:rsid w:val="00DA2A9E"/>
    <w:rsid w:val="00DC0260"/>
    <w:rsid w:val="00DC7B86"/>
    <w:rsid w:val="00DD673E"/>
    <w:rsid w:val="00DF26CD"/>
    <w:rsid w:val="00E01B12"/>
    <w:rsid w:val="00E14A3A"/>
    <w:rsid w:val="00E36155"/>
    <w:rsid w:val="00E50078"/>
    <w:rsid w:val="00E67ADD"/>
    <w:rsid w:val="00E75876"/>
    <w:rsid w:val="00E9539D"/>
    <w:rsid w:val="00E965A0"/>
    <w:rsid w:val="00EA27A8"/>
    <w:rsid w:val="00EA4BF9"/>
    <w:rsid w:val="00EA6EE7"/>
    <w:rsid w:val="00EB70D0"/>
    <w:rsid w:val="00EE04EF"/>
    <w:rsid w:val="00EE3B6D"/>
    <w:rsid w:val="00EE6EBB"/>
    <w:rsid w:val="00F16CA8"/>
    <w:rsid w:val="00F346E7"/>
    <w:rsid w:val="00F847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E15A0A"/>
  <w14:defaultImageDpi w14:val="300"/>
  <w15:docId w15:val="{0C83BE0C-BFF5-4F28-AB1B-0830716CB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448"/>
    <w:pPr>
      <w:ind w:firstLine="360"/>
    </w:pPr>
    <w:rPr>
      <w:rFonts w:ascii="Arial" w:hAnsi="Arial"/>
      <w:szCs w:val="24"/>
    </w:rPr>
  </w:style>
  <w:style w:type="paragraph" w:styleId="Heading1">
    <w:name w:val="heading 1"/>
    <w:basedOn w:val="Normal"/>
    <w:next w:val="Normal"/>
    <w:qFormat/>
    <w:rsid w:val="000D5F1E"/>
    <w:pPr>
      <w:keepNext/>
      <w:spacing w:before="240" w:after="60"/>
      <w:outlineLvl w:val="0"/>
    </w:pPr>
    <w:rPr>
      <w:rFonts w:cs="Arial"/>
      <w:b/>
      <w:bCs/>
      <w:kern w:val="32"/>
      <w:sz w:val="32"/>
      <w:szCs w:val="32"/>
    </w:rPr>
  </w:style>
  <w:style w:type="paragraph" w:styleId="Heading2">
    <w:name w:val="heading 2"/>
    <w:basedOn w:val="Normal"/>
    <w:next w:val="Normal"/>
    <w:qFormat/>
    <w:rsid w:val="00A17563"/>
    <w:pPr>
      <w:numPr>
        <w:ilvl w:val="1"/>
      </w:numPr>
      <w:pBdr>
        <w:top w:val="single" w:sz="6" w:space="1" w:color="D0D3D4"/>
        <w:bottom w:val="single" w:sz="6" w:space="1" w:color="D0D3D4"/>
      </w:pBdr>
      <w:shd w:val="clear" w:color="auto" w:fill="D0D3D4"/>
      <w:tabs>
        <w:tab w:val="num" w:pos="720"/>
      </w:tabs>
      <w:spacing w:before="120" w:after="120" w:line="264" w:lineRule="auto"/>
      <w:ind w:left="720" w:hanging="720"/>
      <w:outlineLvl w:val="1"/>
    </w:pPr>
    <w:rPr>
      <w:rFonts w:cs="Arial"/>
      <w:b/>
      <w:bCs/>
      <w:iCs/>
      <w:color w:val="000000"/>
      <w:sz w:val="24"/>
      <w:szCs w:val="28"/>
    </w:rPr>
  </w:style>
  <w:style w:type="paragraph" w:styleId="Heading3">
    <w:name w:val="heading 3"/>
    <w:basedOn w:val="Normal"/>
    <w:next w:val="Normal"/>
    <w:link w:val="Heading3Char"/>
    <w:qFormat/>
    <w:rsid w:val="000D5F1E"/>
    <w:pPr>
      <w:keepNext/>
      <w:spacing w:before="240" w:after="60"/>
      <w:outlineLvl w:val="2"/>
    </w:pPr>
    <w:rPr>
      <w:rFonts w:cs="Arial"/>
      <w:b/>
      <w:bCs/>
      <w:sz w:val="26"/>
      <w:szCs w:val="26"/>
    </w:rPr>
  </w:style>
  <w:style w:type="paragraph" w:styleId="Heading4">
    <w:name w:val="heading 4"/>
    <w:basedOn w:val="Normal"/>
    <w:next w:val="Normal"/>
    <w:qFormat/>
    <w:rsid w:val="000D5F1E"/>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0D5F1E"/>
    <w:pPr>
      <w:spacing w:before="240" w:after="60"/>
      <w:outlineLvl w:val="4"/>
    </w:pPr>
    <w:rPr>
      <w:b/>
      <w:bCs/>
      <w:i/>
      <w:iCs/>
      <w:sz w:val="26"/>
      <w:szCs w:val="26"/>
    </w:rPr>
  </w:style>
  <w:style w:type="paragraph" w:styleId="Heading6">
    <w:name w:val="heading 6"/>
    <w:basedOn w:val="Normal"/>
    <w:next w:val="Normal"/>
    <w:qFormat/>
    <w:rsid w:val="000D5F1E"/>
    <w:pPr>
      <w:spacing w:before="240" w:after="60"/>
      <w:outlineLvl w:val="5"/>
    </w:pPr>
    <w:rPr>
      <w:rFonts w:ascii="Times New Roman" w:hAnsi="Times New Roman"/>
      <w:b/>
      <w:bCs/>
      <w:sz w:val="22"/>
      <w:szCs w:val="22"/>
    </w:rPr>
  </w:style>
  <w:style w:type="paragraph" w:styleId="Heading7">
    <w:name w:val="heading 7"/>
    <w:basedOn w:val="Normal"/>
    <w:next w:val="Normal"/>
    <w:qFormat/>
    <w:rsid w:val="000D5F1E"/>
    <w:pPr>
      <w:spacing w:before="240" w:after="60"/>
      <w:outlineLvl w:val="6"/>
    </w:pPr>
    <w:rPr>
      <w:rFonts w:ascii="Times New Roman" w:hAnsi="Times New Roman"/>
      <w:sz w:val="24"/>
    </w:rPr>
  </w:style>
  <w:style w:type="paragraph" w:styleId="Heading8">
    <w:name w:val="heading 8"/>
    <w:basedOn w:val="Normal"/>
    <w:next w:val="Normal"/>
    <w:qFormat/>
    <w:rsid w:val="000D5F1E"/>
    <w:pPr>
      <w:spacing w:before="240" w:after="60"/>
      <w:outlineLvl w:val="7"/>
    </w:pPr>
    <w:rPr>
      <w:rFonts w:ascii="Times New Roman" w:hAnsi="Times New Roman"/>
      <w:i/>
      <w:iCs/>
      <w:sz w:val="24"/>
    </w:rPr>
  </w:style>
  <w:style w:type="paragraph" w:styleId="Heading9">
    <w:name w:val="heading 9"/>
    <w:basedOn w:val="Normal"/>
    <w:next w:val="Normal"/>
    <w:qFormat/>
    <w:rsid w:val="000D5F1E"/>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33343"/>
    <w:rPr>
      <w:rFonts w:ascii="Arial" w:hAnsi="Arial" w:cs="Arial"/>
      <w:b/>
      <w:bCs/>
      <w:sz w:val="26"/>
      <w:szCs w:val="26"/>
    </w:rPr>
  </w:style>
  <w:style w:type="paragraph" w:styleId="Title">
    <w:name w:val="Title"/>
    <w:basedOn w:val="Normal"/>
    <w:qFormat/>
    <w:rsid w:val="00792BC9"/>
    <w:pPr>
      <w:ind w:firstLine="0"/>
      <w:jc w:val="center"/>
    </w:pPr>
    <w:rPr>
      <w:rFonts w:ascii="Helvetica" w:hAnsi="Helvetica"/>
      <w:b/>
      <w:bCs/>
    </w:rPr>
  </w:style>
  <w:style w:type="paragraph" w:styleId="Subtitle">
    <w:name w:val="Subtitle"/>
    <w:basedOn w:val="Normal"/>
    <w:qFormat/>
    <w:rsid w:val="00792BC9"/>
    <w:pPr>
      <w:ind w:firstLine="0"/>
      <w:jc w:val="center"/>
    </w:pPr>
    <w:rPr>
      <w:rFonts w:ascii="Helvetica" w:hAnsi="Helvetica"/>
      <w:bCs/>
      <w:sz w:val="22"/>
    </w:rPr>
  </w:style>
  <w:style w:type="paragraph" w:styleId="BodyText">
    <w:name w:val="Body Text"/>
    <w:basedOn w:val="Normal"/>
    <w:link w:val="BodyTextChar"/>
    <w:rPr>
      <w:rFonts w:ascii="Helvetica" w:hAnsi="Helvetica"/>
      <w:b/>
      <w:bCs/>
    </w:rPr>
  </w:style>
  <w:style w:type="character" w:customStyle="1" w:styleId="BodyTextChar">
    <w:name w:val="Body Text Char"/>
    <w:basedOn w:val="DefaultParagraphFont"/>
    <w:link w:val="BodyText"/>
    <w:rsid w:val="00833343"/>
    <w:rPr>
      <w:rFonts w:ascii="Helvetica" w:hAnsi="Helvetica"/>
      <w:b/>
      <w:bCs/>
      <w:szCs w:val="24"/>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BodyText2">
    <w:name w:val="Body Text 2"/>
    <w:basedOn w:val="Normal"/>
    <w:rPr>
      <w:rFonts w:ascii="Helvetica" w:hAnsi="Helvetica"/>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833343"/>
    <w:rPr>
      <w:rFonts w:ascii="Arial" w:hAnsi="Arial"/>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833343"/>
    <w:rPr>
      <w:rFonts w:ascii="Arial" w:hAnsi="Arial"/>
      <w:szCs w:val="24"/>
    </w:rPr>
  </w:style>
  <w:style w:type="paragraph" w:styleId="FootnoteText">
    <w:name w:val="footnote text"/>
    <w:basedOn w:val="Normal"/>
    <w:link w:val="FootnoteTextChar"/>
    <w:semiHidden/>
    <w:rPr>
      <w:szCs w:val="20"/>
    </w:rPr>
  </w:style>
  <w:style w:type="character" w:customStyle="1" w:styleId="FootnoteTextChar">
    <w:name w:val="Footnote Text Char"/>
    <w:basedOn w:val="DefaultParagraphFont"/>
    <w:link w:val="FootnoteText"/>
    <w:semiHidden/>
    <w:rsid w:val="00166501"/>
    <w:rPr>
      <w:rFonts w:ascii="Arial" w:hAnsi="Arial"/>
    </w:rPr>
  </w:style>
  <w:style w:type="character" w:styleId="FootnoteReference">
    <w:name w:val="footnote reference"/>
    <w:semiHidden/>
    <w:rPr>
      <w:vertAlign w:val="superscript"/>
    </w:rPr>
  </w:style>
  <w:style w:type="paragraph" w:styleId="BodyTextIndent">
    <w:name w:val="Body Text Indent"/>
    <w:basedOn w:val="Normal"/>
    <w:rPr>
      <w:rFonts w:ascii="Helvetica" w:hAnsi="Helvetica"/>
    </w:rPr>
  </w:style>
  <w:style w:type="character" w:styleId="PageNumber">
    <w:name w:val="page number"/>
    <w:basedOn w:val="DefaultParagraphFont"/>
    <w:rsid w:val="0017380B"/>
  </w:style>
  <w:style w:type="character" w:styleId="Strong">
    <w:name w:val="Strong"/>
    <w:qFormat/>
    <w:rsid w:val="00B242F4"/>
    <w:rPr>
      <w:b/>
      <w:bCs/>
    </w:rPr>
  </w:style>
  <w:style w:type="paragraph" w:styleId="BalloonText">
    <w:name w:val="Balloon Text"/>
    <w:basedOn w:val="Normal"/>
    <w:semiHidden/>
    <w:rsid w:val="000D5F1E"/>
    <w:rPr>
      <w:rFonts w:ascii="Tahoma" w:hAnsi="Tahoma" w:cs="Tahoma"/>
      <w:sz w:val="16"/>
      <w:szCs w:val="16"/>
    </w:rPr>
  </w:style>
  <w:style w:type="paragraph" w:styleId="BlockText">
    <w:name w:val="Block Text"/>
    <w:basedOn w:val="Normal"/>
    <w:rsid w:val="000D5F1E"/>
    <w:pPr>
      <w:spacing w:after="120"/>
      <w:ind w:left="1440" w:right="1440"/>
    </w:pPr>
  </w:style>
  <w:style w:type="paragraph" w:styleId="BodyText3">
    <w:name w:val="Body Text 3"/>
    <w:basedOn w:val="Normal"/>
    <w:rsid w:val="000D5F1E"/>
    <w:pPr>
      <w:spacing w:after="120"/>
    </w:pPr>
    <w:rPr>
      <w:sz w:val="16"/>
      <w:szCs w:val="16"/>
    </w:rPr>
  </w:style>
  <w:style w:type="paragraph" w:styleId="BodyTextFirstIndent">
    <w:name w:val="Body Text First Indent"/>
    <w:basedOn w:val="BodyText"/>
    <w:rsid w:val="000D5F1E"/>
    <w:pPr>
      <w:spacing w:after="120"/>
      <w:ind w:firstLine="210"/>
    </w:pPr>
    <w:rPr>
      <w:rFonts w:ascii="Arial" w:hAnsi="Arial"/>
      <w:b w:val="0"/>
      <w:bCs w:val="0"/>
    </w:rPr>
  </w:style>
  <w:style w:type="paragraph" w:styleId="BodyTextFirstIndent2">
    <w:name w:val="Body Text First Indent 2"/>
    <w:basedOn w:val="BodyTextIndent"/>
    <w:rsid w:val="000D5F1E"/>
    <w:pPr>
      <w:spacing w:after="120"/>
      <w:ind w:left="360" w:firstLine="210"/>
    </w:pPr>
    <w:rPr>
      <w:rFonts w:ascii="Arial" w:hAnsi="Arial"/>
    </w:rPr>
  </w:style>
  <w:style w:type="paragraph" w:styleId="BodyTextIndent2">
    <w:name w:val="Body Text Indent 2"/>
    <w:basedOn w:val="Normal"/>
    <w:rsid w:val="000D5F1E"/>
    <w:pPr>
      <w:spacing w:after="120" w:line="480" w:lineRule="auto"/>
      <w:ind w:left="360"/>
    </w:pPr>
  </w:style>
  <w:style w:type="paragraph" w:styleId="BodyTextIndent3">
    <w:name w:val="Body Text Indent 3"/>
    <w:basedOn w:val="Normal"/>
    <w:rsid w:val="000D5F1E"/>
    <w:pPr>
      <w:spacing w:after="120"/>
      <w:ind w:left="360"/>
    </w:pPr>
    <w:rPr>
      <w:sz w:val="16"/>
      <w:szCs w:val="16"/>
    </w:rPr>
  </w:style>
  <w:style w:type="paragraph" w:styleId="Caption">
    <w:name w:val="caption"/>
    <w:basedOn w:val="Normal"/>
    <w:next w:val="Normal"/>
    <w:qFormat/>
    <w:rsid w:val="000D5F1E"/>
    <w:pPr>
      <w:spacing w:before="120" w:after="120"/>
    </w:pPr>
    <w:rPr>
      <w:b/>
      <w:bCs/>
      <w:szCs w:val="20"/>
    </w:rPr>
  </w:style>
  <w:style w:type="paragraph" w:styleId="Closing">
    <w:name w:val="Closing"/>
    <w:basedOn w:val="Normal"/>
    <w:rsid w:val="000D5F1E"/>
    <w:pPr>
      <w:ind w:left="4320"/>
    </w:pPr>
  </w:style>
  <w:style w:type="paragraph" w:styleId="CommentText">
    <w:name w:val="annotation text"/>
    <w:basedOn w:val="Normal"/>
    <w:link w:val="CommentTextChar"/>
    <w:rsid w:val="000D5F1E"/>
    <w:rPr>
      <w:szCs w:val="20"/>
    </w:rPr>
  </w:style>
  <w:style w:type="character" w:customStyle="1" w:styleId="CommentTextChar">
    <w:name w:val="Comment Text Char"/>
    <w:basedOn w:val="DefaultParagraphFont"/>
    <w:link w:val="CommentText"/>
    <w:rsid w:val="00833343"/>
    <w:rPr>
      <w:rFonts w:ascii="Arial" w:hAnsi="Arial"/>
    </w:rPr>
  </w:style>
  <w:style w:type="paragraph" w:styleId="CommentSubject">
    <w:name w:val="annotation subject"/>
    <w:basedOn w:val="CommentText"/>
    <w:next w:val="CommentText"/>
    <w:link w:val="CommentSubjectChar"/>
    <w:rsid w:val="000D5F1E"/>
    <w:rPr>
      <w:b/>
      <w:bCs/>
    </w:rPr>
  </w:style>
  <w:style w:type="character" w:customStyle="1" w:styleId="CommentSubjectChar">
    <w:name w:val="Comment Subject Char"/>
    <w:basedOn w:val="CommentTextChar"/>
    <w:link w:val="CommentSubject"/>
    <w:rsid w:val="00833343"/>
    <w:rPr>
      <w:rFonts w:ascii="Arial" w:hAnsi="Arial"/>
      <w:b/>
      <w:bCs/>
    </w:rPr>
  </w:style>
  <w:style w:type="paragraph" w:styleId="Date">
    <w:name w:val="Date"/>
    <w:basedOn w:val="Normal"/>
    <w:next w:val="Normal"/>
    <w:rsid w:val="000D5F1E"/>
  </w:style>
  <w:style w:type="paragraph" w:styleId="DocumentMap">
    <w:name w:val="Document Map"/>
    <w:basedOn w:val="Normal"/>
    <w:semiHidden/>
    <w:rsid w:val="000D5F1E"/>
    <w:pPr>
      <w:shd w:val="clear" w:color="auto" w:fill="000080"/>
    </w:pPr>
    <w:rPr>
      <w:rFonts w:ascii="Tahoma" w:hAnsi="Tahoma" w:cs="Tahoma"/>
    </w:rPr>
  </w:style>
  <w:style w:type="paragraph" w:styleId="E-mailSignature">
    <w:name w:val="E-mail Signature"/>
    <w:basedOn w:val="Normal"/>
    <w:rsid w:val="000D5F1E"/>
  </w:style>
  <w:style w:type="paragraph" w:styleId="EndnoteText">
    <w:name w:val="endnote text"/>
    <w:basedOn w:val="Normal"/>
    <w:semiHidden/>
    <w:rsid w:val="000D5F1E"/>
    <w:rPr>
      <w:szCs w:val="20"/>
    </w:rPr>
  </w:style>
  <w:style w:type="paragraph" w:styleId="EnvelopeAddress">
    <w:name w:val="envelope address"/>
    <w:basedOn w:val="Normal"/>
    <w:rsid w:val="000D5F1E"/>
    <w:pPr>
      <w:framePr w:w="7920" w:h="1980" w:hRule="exact" w:hSpace="180" w:wrap="auto" w:hAnchor="page" w:xAlign="center" w:yAlign="bottom"/>
      <w:ind w:left="2880"/>
    </w:pPr>
    <w:rPr>
      <w:rFonts w:cs="Arial"/>
      <w:sz w:val="24"/>
    </w:rPr>
  </w:style>
  <w:style w:type="paragraph" w:styleId="EnvelopeReturn">
    <w:name w:val="envelope return"/>
    <w:basedOn w:val="Normal"/>
    <w:rsid w:val="000D5F1E"/>
    <w:rPr>
      <w:rFonts w:cs="Arial"/>
      <w:szCs w:val="20"/>
    </w:rPr>
  </w:style>
  <w:style w:type="paragraph" w:styleId="HTMLAddress">
    <w:name w:val="HTML Address"/>
    <w:basedOn w:val="Normal"/>
    <w:rsid w:val="000D5F1E"/>
    <w:rPr>
      <w:i/>
      <w:iCs/>
    </w:rPr>
  </w:style>
  <w:style w:type="paragraph" w:styleId="HTMLPreformatted">
    <w:name w:val="HTML Preformatted"/>
    <w:basedOn w:val="Normal"/>
    <w:rsid w:val="000D5F1E"/>
    <w:rPr>
      <w:rFonts w:ascii="Courier New" w:hAnsi="Courier New" w:cs="Courier New"/>
      <w:szCs w:val="20"/>
    </w:rPr>
  </w:style>
  <w:style w:type="paragraph" w:styleId="Index1">
    <w:name w:val="index 1"/>
    <w:basedOn w:val="Normal"/>
    <w:next w:val="Normal"/>
    <w:autoRedefine/>
    <w:semiHidden/>
    <w:rsid w:val="000D5F1E"/>
    <w:pPr>
      <w:ind w:left="200" w:hanging="200"/>
    </w:pPr>
  </w:style>
  <w:style w:type="paragraph" w:styleId="Index2">
    <w:name w:val="index 2"/>
    <w:basedOn w:val="Normal"/>
    <w:next w:val="Normal"/>
    <w:autoRedefine/>
    <w:semiHidden/>
    <w:rsid w:val="000D5F1E"/>
    <w:pPr>
      <w:ind w:left="400" w:hanging="200"/>
    </w:pPr>
  </w:style>
  <w:style w:type="paragraph" w:styleId="Index3">
    <w:name w:val="index 3"/>
    <w:basedOn w:val="Normal"/>
    <w:next w:val="Normal"/>
    <w:autoRedefine/>
    <w:semiHidden/>
    <w:rsid w:val="000D5F1E"/>
    <w:pPr>
      <w:ind w:left="600" w:hanging="200"/>
    </w:pPr>
  </w:style>
  <w:style w:type="paragraph" w:styleId="Index4">
    <w:name w:val="index 4"/>
    <w:basedOn w:val="Normal"/>
    <w:next w:val="Normal"/>
    <w:autoRedefine/>
    <w:semiHidden/>
    <w:rsid w:val="000D5F1E"/>
    <w:pPr>
      <w:ind w:left="800" w:hanging="200"/>
    </w:pPr>
  </w:style>
  <w:style w:type="paragraph" w:styleId="Index5">
    <w:name w:val="index 5"/>
    <w:basedOn w:val="Normal"/>
    <w:next w:val="Normal"/>
    <w:autoRedefine/>
    <w:semiHidden/>
    <w:rsid w:val="000D5F1E"/>
    <w:pPr>
      <w:ind w:left="1000" w:hanging="200"/>
    </w:pPr>
  </w:style>
  <w:style w:type="paragraph" w:styleId="Index6">
    <w:name w:val="index 6"/>
    <w:basedOn w:val="Normal"/>
    <w:next w:val="Normal"/>
    <w:autoRedefine/>
    <w:semiHidden/>
    <w:rsid w:val="000D5F1E"/>
    <w:pPr>
      <w:ind w:left="1200" w:hanging="200"/>
    </w:pPr>
  </w:style>
  <w:style w:type="paragraph" w:styleId="Index7">
    <w:name w:val="index 7"/>
    <w:basedOn w:val="Normal"/>
    <w:next w:val="Normal"/>
    <w:autoRedefine/>
    <w:semiHidden/>
    <w:rsid w:val="000D5F1E"/>
    <w:pPr>
      <w:ind w:left="1400" w:hanging="200"/>
    </w:pPr>
  </w:style>
  <w:style w:type="paragraph" w:styleId="Index8">
    <w:name w:val="index 8"/>
    <w:basedOn w:val="Normal"/>
    <w:next w:val="Normal"/>
    <w:autoRedefine/>
    <w:semiHidden/>
    <w:rsid w:val="000D5F1E"/>
    <w:pPr>
      <w:ind w:left="1600" w:hanging="200"/>
    </w:pPr>
  </w:style>
  <w:style w:type="paragraph" w:styleId="Index9">
    <w:name w:val="index 9"/>
    <w:basedOn w:val="Normal"/>
    <w:next w:val="Normal"/>
    <w:autoRedefine/>
    <w:semiHidden/>
    <w:rsid w:val="000D5F1E"/>
    <w:pPr>
      <w:ind w:left="1800" w:hanging="200"/>
    </w:pPr>
  </w:style>
  <w:style w:type="paragraph" w:styleId="IndexHeading">
    <w:name w:val="index heading"/>
    <w:basedOn w:val="Normal"/>
    <w:next w:val="Index1"/>
    <w:semiHidden/>
    <w:rsid w:val="000D5F1E"/>
    <w:rPr>
      <w:rFonts w:cs="Arial"/>
      <w:b/>
      <w:bCs/>
    </w:rPr>
  </w:style>
  <w:style w:type="paragraph" w:styleId="List">
    <w:name w:val="List"/>
    <w:basedOn w:val="Normal"/>
    <w:rsid w:val="000D5F1E"/>
    <w:pPr>
      <w:ind w:left="360" w:hanging="360"/>
    </w:pPr>
  </w:style>
  <w:style w:type="paragraph" w:styleId="List2">
    <w:name w:val="List 2"/>
    <w:basedOn w:val="Normal"/>
    <w:rsid w:val="000D5F1E"/>
    <w:pPr>
      <w:ind w:left="720" w:hanging="360"/>
    </w:pPr>
  </w:style>
  <w:style w:type="paragraph" w:styleId="List3">
    <w:name w:val="List 3"/>
    <w:basedOn w:val="Normal"/>
    <w:rsid w:val="000D5F1E"/>
    <w:pPr>
      <w:ind w:left="1080" w:hanging="360"/>
    </w:pPr>
  </w:style>
  <w:style w:type="paragraph" w:styleId="List4">
    <w:name w:val="List 4"/>
    <w:basedOn w:val="Normal"/>
    <w:rsid w:val="000D5F1E"/>
    <w:pPr>
      <w:ind w:left="1440" w:hanging="360"/>
    </w:pPr>
  </w:style>
  <w:style w:type="paragraph" w:styleId="List5">
    <w:name w:val="List 5"/>
    <w:basedOn w:val="Normal"/>
    <w:rsid w:val="000D5F1E"/>
    <w:pPr>
      <w:ind w:left="1800" w:hanging="360"/>
    </w:pPr>
  </w:style>
  <w:style w:type="paragraph" w:styleId="ListBullet">
    <w:name w:val="List Bullet"/>
    <w:basedOn w:val="Normal"/>
    <w:autoRedefine/>
    <w:rsid w:val="000D5F1E"/>
    <w:pPr>
      <w:numPr>
        <w:numId w:val="10"/>
      </w:numPr>
    </w:pPr>
  </w:style>
  <w:style w:type="paragraph" w:styleId="ListBullet2">
    <w:name w:val="List Bullet 2"/>
    <w:basedOn w:val="Normal"/>
    <w:autoRedefine/>
    <w:rsid w:val="000D5F1E"/>
    <w:pPr>
      <w:numPr>
        <w:numId w:val="11"/>
      </w:numPr>
    </w:pPr>
  </w:style>
  <w:style w:type="paragraph" w:styleId="ListBullet3">
    <w:name w:val="List Bullet 3"/>
    <w:basedOn w:val="Normal"/>
    <w:autoRedefine/>
    <w:rsid w:val="000D5F1E"/>
    <w:pPr>
      <w:numPr>
        <w:numId w:val="12"/>
      </w:numPr>
    </w:pPr>
  </w:style>
  <w:style w:type="paragraph" w:styleId="ListBullet4">
    <w:name w:val="List Bullet 4"/>
    <w:basedOn w:val="Normal"/>
    <w:autoRedefine/>
    <w:rsid w:val="000D5F1E"/>
    <w:pPr>
      <w:numPr>
        <w:numId w:val="13"/>
      </w:numPr>
    </w:pPr>
  </w:style>
  <w:style w:type="paragraph" w:styleId="ListBullet5">
    <w:name w:val="List Bullet 5"/>
    <w:basedOn w:val="Normal"/>
    <w:autoRedefine/>
    <w:rsid w:val="000D5F1E"/>
    <w:pPr>
      <w:numPr>
        <w:numId w:val="14"/>
      </w:numPr>
    </w:pPr>
  </w:style>
  <w:style w:type="paragraph" w:styleId="ListContinue">
    <w:name w:val="List Continue"/>
    <w:basedOn w:val="Normal"/>
    <w:rsid w:val="000D5F1E"/>
    <w:pPr>
      <w:spacing w:after="120"/>
      <w:ind w:left="360"/>
    </w:pPr>
  </w:style>
  <w:style w:type="paragraph" w:styleId="ListContinue2">
    <w:name w:val="List Continue 2"/>
    <w:basedOn w:val="Normal"/>
    <w:rsid w:val="000D5F1E"/>
    <w:pPr>
      <w:spacing w:after="120"/>
      <w:ind w:left="720"/>
    </w:pPr>
  </w:style>
  <w:style w:type="paragraph" w:styleId="ListContinue3">
    <w:name w:val="List Continue 3"/>
    <w:basedOn w:val="Normal"/>
    <w:rsid w:val="000D5F1E"/>
    <w:pPr>
      <w:spacing w:after="120"/>
      <w:ind w:left="1080"/>
    </w:pPr>
  </w:style>
  <w:style w:type="paragraph" w:styleId="ListContinue4">
    <w:name w:val="List Continue 4"/>
    <w:basedOn w:val="Normal"/>
    <w:rsid w:val="000D5F1E"/>
    <w:pPr>
      <w:spacing w:after="120"/>
      <w:ind w:left="1440"/>
    </w:pPr>
  </w:style>
  <w:style w:type="paragraph" w:styleId="ListContinue5">
    <w:name w:val="List Continue 5"/>
    <w:basedOn w:val="Normal"/>
    <w:rsid w:val="000D5F1E"/>
    <w:pPr>
      <w:spacing w:after="120"/>
      <w:ind w:left="1800"/>
    </w:pPr>
  </w:style>
  <w:style w:type="paragraph" w:styleId="ListNumber">
    <w:name w:val="List Number"/>
    <w:basedOn w:val="Normal"/>
    <w:rsid w:val="000D5F1E"/>
    <w:pPr>
      <w:numPr>
        <w:numId w:val="15"/>
      </w:numPr>
    </w:pPr>
  </w:style>
  <w:style w:type="paragraph" w:styleId="ListNumber2">
    <w:name w:val="List Number 2"/>
    <w:basedOn w:val="Normal"/>
    <w:rsid w:val="000D5F1E"/>
    <w:pPr>
      <w:numPr>
        <w:numId w:val="16"/>
      </w:numPr>
    </w:pPr>
  </w:style>
  <w:style w:type="paragraph" w:styleId="ListNumber3">
    <w:name w:val="List Number 3"/>
    <w:basedOn w:val="Normal"/>
    <w:rsid w:val="000D5F1E"/>
    <w:pPr>
      <w:numPr>
        <w:numId w:val="17"/>
      </w:numPr>
    </w:pPr>
  </w:style>
  <w:style w:type="paragraph" w:styleId="ListNumber4">
    <w:name w:val="List Number 4"/>
    <w:basedOn w:val="Normal"/>
    <w:rsid w:val="000D5F1E"/>
    <w:pPr>
      <w:numPr>
        <w:numId w:val="18"/>
      </w:numPr>
    </w:pPr>
  </w:style>
  <w:style w:type="paragraph" w:styleId="ListNumber5">
    <w:name w:val="List Number 5"/>
    <w:basedOn w:val="Normal"/>
    <w:rsid w:val="000D5F1E"/>
    <w:pPr>
      <w:numPr>
        <w:numId w:val="19"/>
      </w:numPr>
    </w:pPr>
  </w:style>
  <w:style w:type="paragraph" w:styleId="MacroText">
    <w:name w:val="macro"/>
    <w:semiHidden/>
    <w:rsid w:val="000D5F1E"/>
    <w:pPr>
      <w:tabs>
        <w:tab w:val="left" w:pos="480"/>
        <w:tab w:val="left" w:pos="960"/>
        <w:tab w:val="left" w:pos="1440"/>
        <w:tab w:val="left" w:pos="1920"/>
        <w:tab w:val="left" w:pos="2400"/>
        <w:tab w:val="left" w:pos="2880"/>
        <w:tab w:val="left" w:pos="3360"/>
        <w:tab w:val="left" w:pos="3840"/>
        <w:tab w:val="left" w:pos="4320"/>
      </w:tabs>
      <w:ind w:firstLine="360"/>
    </w:pPr>
    <w:rPr>
      <w:rFonts w:ascii="Courier New" w:hAnsi="Courier New" w:cs="Courier New"/>
    </w:rPr>
  </w:style>
  <w:style w:type="paragraph" w:styleId="MessageHeader">
    <w:name w:val="Message Header"/>
    <w:basedOn w:val="Normal"/>
    <w:rsid w:val="000D5F1E"/>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rPr>
  </w:style>
  <w:style w:type="paragraph" w:styleId="NormalWeb">
    <w:name w:val="Normal (Web)"/>
    <w:basedOn w:val="Normal"/>
    <w:rsid w:val="000D5F1E"/>
    <w:rPr>
      <w:rFonts w:ascii="Times New Roman" w:hAnsi="Times New Roman"/>
      <w:sz w:val="24"/>
    </w:rPr>
  </w:style>
  <w:style w:type="paragraph" w:styleId="NormalIndent">
    <w:name w:val="Normal Indent"/>
    <w:basedOn w:val="Normal"/>
    <w:rsid w:val="000D5F1E"/>
    <w:pPr>
      <w:ind w:left="720"/>
    </w:pPr>
  </w:style>
  <w:style w:type="paragraph" w:styleId="NoteHeading">
    <w:name w:val="Note Heading"/>
    <w:basedOn w:val="Normal"/>
    <w:next w:val="Normal"/>
    <w:rsid w:val="000D5F1E"/>
  </w:style>
  <w:style w:type="paragraph" w:styleId="PlainText">
    <w:name w:val="Plain Text"/>
    <w:basedOn w:val="Normal"/>
    <w:rsid w:val="000D5F1E"/>
    <w:rPr>
      <w:rFonts w:ascii="Courier New" w:hAnsi="Courier New" w:cs="Courier New"/>
      <w:szCs w:val="20"/>
    </w:rPr>
  </w:style>
  <w:style w:type="paragraph" w:styleId="Salutation">
    <w:name w:val="Salutation"/>
    <w:basedOn w:val="Normal"/>
    <w:next w:val="Normal"/>
    <w:rsid w:val="000D5F1E"/>
  </w:style>
  <w:style w:type="paragraph" w:styleId="Signature">
    <w:name w:val="Signature"/>
    <w:basedOn w:val="Normal"/>
    <w:rsid w:val="000D5F1E"/>
    <w:pPr>
      <w:ind w:left="4320"/>
    </w:pPr>
  </w:style>
  <w:style w:type="paragraph" w:styleId="TableofAuthorities">
    <w:name w:val="table of authorities"/>
    <w:basedOn w:val="Normal"/>
    <w:next w:val="Normal"/>
    <w:semiHidden/>
    <w:rsid w:val="000D5F1E"/>
    <w:pPr>
      <w:ind w:left="200" w:hanging="200"/>
    </w:pPr>
  </w:style>
  <w:style w:type="paragraph" w:styleId="TableofFigures">
    <w:name w:val="table of figures"/>
    <w:basedOn w:val="Normal"/>
    <w:next w:val="Normal"/>
    <w:uiPriority w:val="99"/>
    <w:rsid w:val="000D5F1E"/>
    <w:pPr>
      <w:ind w:left="400" w:hanging="400"/>
    </w:pPr>
  </w:style>
  <w:style w:type="paragraph" w:styleId="TOAHeading">
    <w:name w:val="toa heading"/>
    <w:basedOn w:val="Normal"/>
    <w:next w:val="Normal"/>
    <w:semiHidden/>
    <w:rsid w:val="000D5F1E"/>
    <w:pPr>
      <w:spacing w:before="120"/>
    </w:pPr>
    <w:rPr>
      <w:rFonts w:cs="Arial"/>
      <w:b/>
      <w:bCs/>
      <w:sz w:val="24"/>
    </w:rPr>
  </w:style>
  <w:style w:type="paragraph" w:styleId="TOC1">
    <w:name w:val="toc 1"/>
    <w:basedOn w:val="Normal"/>
    <w:next w:val="Normal"/>
    <w:autoRedefine/>
    <w:uiPriority w:val="39"/>
    <w:rsid w:val="00794B35"/>
    <w:pPr>
      <w:tabs>
        <w:tab w:val="right" w:leader="dot" w:pos="9350"/>
      </w:tabs>
      <w:ind w:firstLine="0"/>
    </w:pPr>
  </w:style>
  <w:style w:type="paragraph" w:styleId="TOC2">
    <w:name w:val="toc 2"/>
    <w:basedOn w:val="Normal"/>
    <w:next w:val="Normal"/>
    <w:autoRedefine/>
    <w:uiPriority w:val="39"/>
    <w:rsid w:val="000D5F1E"/>
    <w:pPr>
      <w:ind w:left="200"/>
    </w:pPr>
  </w:style>
  <w:style w:type="paragraph" w:styleId="TOC3">
    <w:name w:val="toc 3"/>
    <w:basedOn w:val="Normal"/>
    <w:next w:val="Normal"/>
    <w:autoRedefine/>
    <w:rsid w:val="000D5F1E"/>
    <w:pPr>
      <w:ind w:left="400"/>
    </w:pPr>
  </w:style>
  <w:style w:type="paragraph" w:styleId="TOC4">
    <w:name w:val="toc 4"/>
    <w:basedOn w:val="Normal"/>
    <w:next w:val="Normal"/>
    <w:autoRedefine/>
    <w:semiHidden/>
    <w:rsid w:val="000D5F1E"/>
    <w:pPr>
      <w:ind w:left="600"/>
    </w:pPr>
  </w:style>
  <w:style w:type="paragraph" w:styleId="TOC5">
    <w:name w:val="toc 5"/>
    <w:basedOn w:val="Normal"/>
    <w:next w:val="Normal"/>
    <w:autoRedefine/>
    <w:semiHidden/>
    <w:rsid w:val="000D5F1E"/>
    <w:pPr>
      <w:ind w:left="800"/>
    </w:pPr>
  </w:style>
  <w:style w:type="paragraph" w:styleId="TOC6">
    <w:name w:val="toc 6"/>
    <w:basedOn w:val="Normal"/>
    <w:next w:val="Normal"/>
    <w:autoRedefine/>
    <w:semiHidden/>
    <w:rsid w:val="000D5F1E"/>
    <w:pPr>
      <w:ind w:left="1000"/>
    </w:pPr>
  </w:style>
  <w:style w:type="paragraph" w:styleId="TOC7">
    <w:name w:val="toc 7"/>
    <w:basedOn w:val="Normal"/>
    <w:next w:val="Normal"/>
    <w:autoRedefine/>
    <w:semiHidden/>
    <w:rsid w:val="000D5F1E"/>
    <w:pPr>
      <w:ind w:left="1200"/>
    </w:pPr>
  </w:style>
  <w:style w:type="paragraph" w:styleId="TOC8">
    <w:name w:val="toc 8"/>
    <w:basedOn w:val="Normal"/>
    <w:next w:val="Normal"/>
    <w:autoRedefine/>
    <w:semiHidden/>
    <w:rsid w:val="000D5F1E"/>
    <w:pPr>
      <w:ind w:left="1400"/>
    </w:pPr>
  </w:style>
  <w:style w:type="paragraph" w:styleId="TOC9">
    <w:name w:val="toc 9"/>
    <w:basedOn w:val="Normal"/>
    <w:next w:val="Normal"/>
    <w:autoRedefine/>
    <w:semiHidden/>
    <w:rsid w:val="000D5F1E"/>
    <w:pPr>
      <w:ind w:left="1600"/>
    </w:pPr>
  </w:style>
  <w:style w:type="paragraph" w:customStyle="1" w:styleId="Body">
    <w:name w:val="Body"/>
    <w:basedOn w:val="Normal"/>
    <w:link w:val="BodyChar"/>
    <w:qFormat/>
    <w:rsid w:val="00661C47"/>
    <w:pPr>
      <w:ind w:firstLine="0"/>
    </w:pPr>
    <w:rPr>
      <w:rFonts w:ascii="Times New Roman" w:eastAsia="Malgun Gothic" w:hAnsi="Times New Roman"/>
      <w:sz w:val="24"/>
      <w:szCs w:val="20"/>
      <w:lang w:val="x-none" w:eastAsia="x-none"/>
    </w:rPr>
  </w:style>
  <w:style w:type="character" w:customStyle="1" w:styleId="BodyChar">
    <w:name w:val="Body Char"/>
    <w:link w:val="Body"/>
    <w:rsid w:val="00661C47"/>
    <w:rPr>
      <w:rFonts w:eastAsia="Malgun Gothic"/>
      <w:sz w:val="24"/>
      <w:lang w:val="x-none" w:eastAsia="x-none"/>
    </w:rPr>
  </w:style>
  <w:style w:type="paragraph" w:styleId="ListParagraph">
    <w:name w:val="List Paragraph"/>
    <w:basedOn w:val="Normal"/>
    <w:uiPriority w:val="34"/>
    <w:qFormat/>
    <w:rsid w:val="00166501"/>
    <w:pPr>
      <w:ind w:left="720" w:firstLine="0"/>
      <w:contextualSpacing/>
    </w:pPr>
    <w:rPr>
      <w:rFonts w:ascii="Times New Roman" w:eastAsia="Malgun Gothic" w:hAnsi="Times New Roman"/>
      <w:sz w:val="24"/>
      <w:szCs w:val="22"/>
      <w:lang w:eastAsia="ko-KR"/>
    </w:rPr>
  </w:style>
  <w:style w:type="paragraph" w:customStyle="1" w:styleId="Default">
    <w:name w:val="Default"/>
    <w:rsid w:val="00D943A0"/>
    <w:pPr>
      <w:autoSpaceDE w:val="0"/>
      <w:autoSpaceDN w:val="0"/>
      <w:adjustRightInd w:val="0"/>
    </w:pPr>
    <w:rPr>
      <w:color w:val="000000"/>
      <w:sz w:val="24"/>
      <w:szCs w:val="24"/>
    </w:rPr>
  </w:style>
  <w:style w:type="paragraph" w:styleId="TOCHeading">
    <w:name w:val="TOC Heading"/>
    <w:basedOn w:val="Heading1"/>
    <w:next w:val="Normal"/>
    <w:uiPriority w:val="39"/>
    <w:unhideWhenUsed/>
    <w:qFormat/>
    <w:rsid w:val="002C599E"/>
    <w:pPr>
      <w:keepLines/>
      <w:spacing w:before="480" w:after="0" w:line="276" w:lineRule="auto"/>
      <w:ind w:firstLine="0"/>
      <w:outlineLvl w:val="9"/>
    </w:pPr>
    <w:rPr>
      <w:rFonts w:asciiTheme="majorHAnsi" w:eastAsiaTheme="majorEastAsia" w:hAnsiTheme="majorHAnsi" w:cstheme="majorBidi"/>
      <w:color w:val="365F91" w:themeColor="accent1" w:themeShade="BF"/>
      <w:kern w:val="0"/>
      <w:sz w:val="28"/>
      <w:szCs w:val="28"/>
      <w:lang w:eastAsia="ja-JP"/>
    </w:rPr>
  </w:style>
  <w:style w:type="paragraph" w:customStyle="1" w:styleId="CoverTextRed16pt">
    <w:name w:val="Cover Text  Red 16pt"/>
    <w:basedOn w:val="Normal"/>
    <w:rsid w:val="002C599E"/>
    <w:pPr>
      <w:tabs>
        <w:tab w:val="left" w:pos="720"/>
        <w:tab w:val="left" w:pos="1080"/>
        <w:tab w:val="left" w:pos="1440"/>
        <w:tab w:val="left" w:pos="1800"/>
        <w:tab w:val="left" w:pos="6660"/>
      </w:tabs>
      <w:spacing w:line="264" w:lineRule="auto"/>
      <w:ind w:left="5213" w:right="-547" w:firstLine="0"/>
      <w:jc w:val="right"/>
    </w:pPr>
    <w:rPr>
      <w:b/>
      <w:color w:val="DA291C"/>
      <w:sz w:val="32"/>
      <w:szCs w:val="32"/>
    </w:rPr>
  </w:style>
  <w:style w:type="paragraph" w:customStyle="1" w:styleId="CoverText11pt">
    <w:name w:val="Cover Text 11 pt"/>
    <w:basedOn w:val="Normal"/>
    <w:rsid w:val="002C599E"/>
    <w:pPr>
      <w:tabs>
        <w:tab w:val="left" w:pos="720"/>
        <w:tab w:val="left" w:pos="1080"/>
        <w:tab w:val="left" w:pos="1440"/>
        <w:tab w:val="left" w:pos="1800"/>
        <w:tab w:val="left" w:pos="6660"/>
      </w:tabs>
      <w:spacing w:line="264" w:lineRule="auto"/>
      <w:ind w:left="6490" w:right="-540" w:firstLine="0"/>
      <w:jc w:val="right"/>
    </w:pPr>
    <w:rPr>
      <w:i/>
      <w:color w:val="616662"/>
      <w:sz w:val="22"/>
    </w:rPr>
  </w:style>
  <w:style w:type="paragraph" w:customStyle="1" w:styleId="CoverText-Address">
    <w:name w:val="Cover Text - Address"/>
    <w:basedOn w:val="Normal"/>
    <w:rsid w:val="002C599E"/>
    <w:pPr>
      <w:tabs>
        <w:tab w:val="left" w:pos="720"/>
        <w:tab w:val="left" w:pos="1080"/>
        <w:tab w:val="left" w:pos="1440"/>
        <w:tab w:val="left" w:pos="1800"/>
        <w:tab w:val="left" w:pos="6660"/>
      </w:tabs>
      <w:spacing w:line="264" w:lineRule="auto"/>
      <w:ind w:left="5213" w:right="-547" w:firstLine="0"/>
      <w:jc w:val="right"/>
    </w:pPr>
    <w:rPr>
      <w:color w:val="616662"/>
      <w:sz w:val="22"/>
    </w:rPr>
  </w:style>
  <w:style w:type="paragraph" w:customStyle="1" w:styleId="CoverTextGreyBold">
    <w:name w:val="Cover Text Grey Bold"/>
    <w:basedOn w:val="Normal"/>
    <w:rsid w:val="002C599E"/>
    <w:pPr>
      <w:tabs>
        <w:tab w:val="left" w:pos="720"/>
        <w:tab w:val="left" w:pos="1080"/>
        <w:tab w:val="left" w:pos="1440"/>
        <w:tab w:val="left" w:pos="1800"/>
        <w:tab w:val="left" w:pos="6660"/>
      </w:tabs>
      <w:spacing w:line="264" w:lineRule="auto"/>
      <w:ind w:left="5213" w:right="-547" w:firstLine="0"/>
      <w:jc w:val="right"/>
    </w:pPr>
    <w:rPr>
      <w:b/>
      <w:color w:val="616662"/>
      <w:sz w:val="22"/>
    </w:rPr>
  </w:style>
  <w:style w:type="paragraph" w:customStyle="1" w:styleId="Heading1ES">
    <w:name w:val="Heading 1 ES"/>
    <w:basedOn w:val="Heading1"/>
    <w:qFormat/>
    <w:rsid w:val="00A17563"/>
    <w:pPr>
      <w:keepLines/>
      <w:pageBreakBefore/>
      <w:pBdr>
        <w:top w:val="single" w:sz="6" w:space="3" w:color="DA291C"/>
        <w:bottom w:val="single" w:sz="6" w:space="3" w:color="DA291C"/>
      </w:pBdr>
      <w:shd w:val="clear" w:color="auto" w:fill="DA291C"/>
      <w:spacing w:before="0" w:after="180" w:line="264" w:lineRule="auto"/>
      <w:ind w:firstLine="0"/>
    </w:pPr>
    <w:rPr>
      <w:rFonts w:cs="Times New Roman"/>
      <w:bCs w:val="0"/>
      <w:color w:val="FFFFFF"/>
      <w:kern w:val="28"/>
      <w:sz w:val="28"/>
      <w:szCs w:val="20"/>
    </w:rPr>
  </w:style>
  <w:style w:type="paragraph" w:customStyle="1" w:styleId="TableTitle">
    <w:name w:val="Table Title"/>
    <w:basedOn w:val="Normal"/>
    <w:next w:val="Normal"/>
    <w:rsid w:val="007C62D2"/>
    <w:pPr>
      <w:spacing w:after="120"/>
      <w:ind w:firstLine="0"/>
      <w:jc w:val="center"/>
    </w:pPr>
    <w:rPr>
      <w:rFonts w:ascii="Times New Roman" w:hAnsi="Times New Roman"/>
      <w:b/>
      <w:sz w:val="24"/>
    </w:rPr>
  </w:style>
  <w:style w:type="paragraph" w:customStyle="1" w:styleId="FigureTitle">
    <w:name w:val="Figure Title"/>
    <w:basedOn w:val="TableTitle"/>
    <w:next w:val="Normal"/>
    <w:rsid w:val="00833343"/>
  </w:style>
  <w:style w:type="paragraph" w:customStyle="1" w:styleId="Preparedforby">
    <w:name w:val="Prepared for/by"/>
    <w:basedOn w:val="Normal"/>
    <w:rsid w:val="00833343"/>
    <w:pPr>
      <w:ind w:firstLine="0"/>
      <w:jc w:val="center"/>
    </w:pPr>
    <w:rPr>
      <w:rFonts w:eastAsia="MS Mincho"/>
      <w:b/>
      <w:color w:val="1F497D" w:themeColor="text2"/>
      <w:sz w:val="28"/>
      <w:lang w:eastAsia="ja-JP"/>
    </w:rPr>
  </w:style>
  <w:style w:type="paragraph" w:customStyle="1" w:styleId="ReportDate">
    <w:name w:val="Report Date"/>
    <w:basedOn w:val="Normal"/>
    <w:rsid w:val="00833343"/>
    <w:pPr>
      <w:ind w:firstLine="0"/>
      <w:jc w:val="center"/>
    </w:pPr>
    <w:rPr>
      <w:rFonts w:eastAsia="MS Mincho"/>
      <w:b/>
      <w:color w:val="1F497D" w:themeColor="text2"/>
      <w:sz w:val="28"/>
      <w:lang w:eastAsia="ja-JP"/>
    </w:rPr>
  </w:style>
  <w:style w:type="paragraph" w:customStyle="1" w:styleId="ReportTitle">
    <w:name w:val="Report Title"/>
    <w:basedOn w:val="Normal"/>
    <w:rsid w:val="00833343"/>
    <w:pPr>
      <w:ind w:firstLine="0"/>
      <w:jc w:val="center"/>
    </w:pPr>
    <w:rPr>
      <w:rFonts w:eastAsia="MS Mincho"/>
      <w:b/>
      <w:color w:val="1F497D" w:themeColor="text2"/>
      <w:sz w:val="52"/>
      <w:lang w:eastAsia="ja-JP"/>
    </w:rPr>
  </w:style>
  <w:style w:type="paragraph" w:customStyle="1" w:styleId="ReportType">
    <w:name w:val="Report Type"/>
    <w:basedOn w:val="Normal"/>
    <w:rsid w:val="00833343"/>
    <w:pPr>
      <w:ind w:firstLine="0"/>
      <w:jc w:val="center"/>
    </w:pPr>
    <w:rPr>
      <w:rFonts w:eastAsia="MS Mincho"/>
      <w:color w:val="1F497D" w:themeColor="text2"/>
      <w:sz w:val="36"/>
      <w:lang w:eastAsia="ja-JP"/>
    </w:rPr>
  </w:style>
  <w:style w:type="table" w:styleId="TableGrid">
    <w:name w:val="Table Grid"/>
    <w:basedOn w:val="TableNormal"/>
    <w:rsid w:val="008333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eaf">
    <w:name w:val="Bullet leaf"/>
    <w:uiPriority w:val="99"/>
    <w:rsid w:val="00833343"/>
    <w:pPr>
      <w:numPr>
        <w:numId w:val="25"/>
      </w:numPr>
      <w:spacing w:after="240"/>
      <w:ind w:left="1440" w:hanging="720"/>
      <w:jc w:val="both"/>
    </w:pPr>
    <w:rPr>
      <w:sz w:val="24"/>
      <w:szCs w:val="24"/>
    </w:rPr>
  </w:style>
  <w:style w:type="paragraph" w:customStyle="1" w:styleId="Heading4--NoNumbers">
    <w:name w:val="Heading 4--No Numbers"/>
    <w:basedOn w:val="Normal"/>
    <w:next w:val="Normal"/>
    <w:rsid w:val="00833343"/>
    <w:pPr>
      <w:keepNext/>
      <w:tabs>
        <w:tab w:val="left" w:pos="720"/>
      </w:tabs>
      <w:spacing w:after="240"/>
      <w:ind w:left="720" w:firstLine="0"/>
    </w:pPr>
    <w:rPr>
      <w:rFonts w:ascii="Times New Roman" w:hAnsi="Times New Roman"/>
      <w:b/>
      <w:sz w:val="24"/>
      <w:szCs w:val="20"/>
    </w:rPr>
  </w:style>
  <w:style w:type="paragraph" w:customStyle="1" w:styleId="BodyProposal">
    <w:name w:val="Body Proposal"/>
    <w:basedOn w:val="Normal"/>
    <w:link w:val="BodyProposalChar"/>
    <w:qFormat/>
    <w:rsid w:val="00833343"/>
    <w:pPr>
      <w:spacing w:before="120" w:after="120"/>
      <w:ind w:firstLine="0"/>
    </w:pPr>
    <w:rPr>
      <w:rFonts w:ascii="Calibri" w:hAnsi="Calibri"/>
      <w:sz w:val="24"/>
    </w:rPr>
  </w:style>
  <w:style w:type="character" w:customStyle="1" w:styleId="BodyProposalChar">
    <w:name w:val="Body Proposal Char"/>
    <w:basedOn w:val="DefaultParagraphFont"/>
    <w:link w:val="BodyProposal"/>
    <w:rsid w:val="00833343"/>
    <w:rPr>
      <w:rFonts w:ascii="Calibri" w:hAnsi="Calibri"/>
      <w:sz w:val="24"/>
      <w:szCs w:val="24"/>
    </w:rPr>
  </w:style>
  <w:style w:type="character" w:styleId="CommentReference">
    <w:name w:val="annotation reference"/>
    <w:basedOn w:val="DefaultParagraphFont"/>
    <w:rsid w:val="00833343"/>
    <w:rPr>
      <w:sz w:val="16"/>
      <w:szCs w:val="16"/>
    </w:rPr>
  </w:style>
  <w:style w:type="paragraph" w:customStyle="1" w:styleId="R-3h">
    <w:name w:val="R-3h"/>
    <w:basedOn w:val="Normal"/>
    <w:rsid w:val="00833343"/>
    <w:pPr>
      <w:keepNext/>
      <w:keepLines/>
      <w:ind w:firstLine="0"/>
    </w:pPr>
    <w:rPr>
      <w:rFonts w:cs="Arial"/>
      <w:b/>
      <w:i/>
      <w:sz w:val="22"/>
      <w:szCs w:val="20"/>
    </w:rPr>
  </w:style>
  <w:style w:type="paragraph" w:customStyle="1" w:styleId="R-2h">
    <w:name w:val="R-2h"/>
    <w:basedOn w:val="Normal"/>
    <w:next w:val="Normal"/>
    <w:rsid w:val="00833343"/>
    <w:pPr>
      <w:keepNext/>
      <w:keepLines/>
      <w:ind w:firstLine="0"/>
    </w:pPr>
    <w:rPr>
      <w:b/>
      <w:sz w:val="28"/>
      <w:szCs w:val="20"/>
    </w:rPr>
  </w:style>
  <w:style w:type="paragraph" w:customStyle="1" w:styleId="Level1">
    <w:name w:val="Level 1"/>
    <w:rsid w:val="00833343"/>
    <w:pPr>
      <w:autoSpaceDE w:val="0"/>
      <w:autoSpaceDN w:val="0"/>
      <w:adjustRightInd w:val="0"/>
      <w:ind w:left="720"/>
    </w:pPr>
    <w:rPr>
      <w:sz w:val="24"/>
      <w:szCs w:val="24"/>
    </w:rPr>
  </w:style>
  <w:style w:type="paragraph" w:customStyle="1" w:styleId="CharCharChar">
    <w:name w:val="Char Char Char"/>
    <w:basedOn w:val="Normal"/>
    <w:semiHidden/>
    <w:rsid w:val="00833343"/>
    <w:pPr>
      <w:numPr>
        <w:numId w:val="29"/>
      </w:numPr>
      <w:tabs>
        <w:tab w:val="clear" w:pos="360"/>
      </w:tabs>
      <w:spacing w:before="80" w:after="80"/>
      <w:ind w:left="4320" w:firstLine="0"/>
      <w:jc w:val="both"/>
    </w:pPr>
    <w:rPr>
      <w:rFonts w:ascii="Times New Roman" w:hAnsi="Times New Roman"/>
      <w:sz w:val="22"/>
      <w:szCs w:val="22"/>
    </w:rPr>
  </w:style>
  <w:style w:type="paragraph" w:customStyle="1" w:styleId="R-bullet">
    <w:name w:val="R-bullet"/>
    <w:basedOn w:val="Normal"/>
    <w:rsid w:val="00833343"/>
    <w:pPr>
      <w:numPr>
        <w:numId w:val="24"/>
      </w:numPr>
    </w:pPr>
    <w:rPr>
      <w:rFonts w:ascii="Times New Roman" w:hAnsi="Times New Roman"/>
      <w:sz w:val="22"/>
      <w:szCs w:val="20"/>
    </w:rPr>
  </w:style>
  <w:style w:type="paragraph" w:customStyle="1" w:styleId="R-Employment">
    <w:name w:val="R-Employment"/>
    <w:basedOn w:val="Normal"/>
    <w:rsid w:val="00833343"/>
    <w:pPr>
      <w:ind w:left="2160" w:hanging="2160"/>
    </w:pPr>
    <w:rPr>
      <w:rFonts w:ascii="Times New Roman" w:hAnsi="Times New Roman"/>
      <w:sz w:val="22"/>
      <w:szCs w:val="20"/>
    </w:rPr>
  </w:style>
  <w:style w:type="paragraph" w:styleId="Revision">
    <w:name w:val="Revision"/>
    <w:hidden/>
    <w:uiPriority w:val="99"/>
    <w:rsid w:val="00833343"/>
    <w:rPr>
      <w:sz w:val="24"/>
      <w:szCs w:val="24"/>
    </w:rPr>
  </w:style>
  <w:style w:type="paragraph" w:customStyle="1" w:styleId="Figure">
    <w:name w:val="Figure"/>
    <w:basedOn w:val="Normal"/>
    <w:rsid w:val="00833343"/>
    <w:pPr>
      <w:ind w:firstLine="0"/>
      <w:jc w:val="center"/>
      <w:outlineLvl w:val="0"/>
    </w:pPr>
    <w:rPr>
      <w:rFonts w:cs="Arial"/>
      <w:b/>
      <w:bCs/>
      <w:sz w:val="24"/>
    </w:rPr>
  </w:style>
  <w:style w:type="paragraph" w:customStyle="1" w:styleId="Table">
    <w:name w:val="Table"/>
    <w:basedOn w:val="Normal"/>
    <w:link w:val="TableChar"/>
    <w:rsid w:val="00833343"/>
    <w:pPr>
      <w:ind w:firstLine="0"/>
      <w:jc w:val="center"/>
      <w:outlineLvl w:val="0"/>
    </w:pPr>
    <w:rPr>
      <w:b/>
      <w:sz w:val="24"/>
    </w:rPr>
  </w:style>
  <w:style w:type="character" w:customStyle="1" w:styleId="TableChar">
    <w:name w:val="Table Char"/>
    <w:basedOn w:val="DefaultParagraphFont"/>
    <w:link w:val="Table"/>
    <w:rsid w:val="00833343"/>
    <w:rPr>
      <w:rFonts w:ascii="Arial" w:hAnsi="Arial"/>
      <w:b/>
      <w:sz w:val="24"/>
      <w:szCs w:val="24"/>
    </w:rPr>
  </w:style>
  <w:style w:type="paragraph" w:customStyle="1" w:styleId="StyleLatinArialComplexArialComplex12ptBoldAllca">
    <w:name w:val="Style (Latin) Arial (Complex) Arial (Complex) 12 pt Bold All ca..."/>
    <w:basedOn w:val="Normal"/>
    <w:rsid w:val="00833343"/>
    <w:pPr>
      <w:widowControl w:val="0"/>
      <w:ind w:firstLine="0"/>
      <w:jc w:val="center"/>
    </w:pPr>
    <w:rPr>
      <w:rFonts w:ascii="Arial Bold" w:hAnsi="Arial Bold" w:cs="Arial"/>
      <w:b/>
      <w:bCs/>
      <w:snapToGrid w:val="0"/>
      <w:sz w:val="24"/>
    </w:rPr>
  </w:style>
  <w:style w:type="character" w:customStyle="1" w:styleId="Hypertext">
    <w:name w:val="Hypertext"/>
    <w:rsid w:val="00833343"/>
  </w:style>
  <w:style w:type="paragraph" w:customStyle="1" w:styleId="font5">
    <w:name w:val="font5"/>
    <w:basedOn w:val="Normal"/>
    <w:rsid w:val="00833343"/>
    <w:pPr>
      <w:spacing w:before="100" w:beforeAutospacing="1" w:after="100" w:afterAutospacing="1"/>
      <w:ind w:firstLine="0"/>
    </w:pPr>
    <w:rPr>
      <w:rFonts w:cs="Arial"/>
      <w:b/>
      <w:bCs/>
      <w:szCs w:val="20"/>
    </w:rPr>
  </w:style>
  <w:style w:type="paragraph" w:customStyle="1" w:styleId="xl27">
    <w:name w:val="xl27"/>
    <w:basedOn w:val="Normal"/>
    <w:rsid w:val="00833343"/>
    <w:pPr>
      <w:spacing w:before="100" w:beforeAutospacing="1" w:after="100" w:afterAutospacing="1"/>
      <w:ind w:firstLine="0"/>
      <w:jc w:val="center"/>
      <w:textAlignment w:val="top"/>
    </w:pPr>
    <w:rPr>
      <w:rFonts w:cs="Arial"/>
      <w:sz w:val="24"/>
    </w:rPr>
  </w:style>
  <w:style w:type="paragraph" w:customStyle="1" w:styleId="xl28">
    <w:name w:val="xl28"/>
    <w:basedOn w:val="Normal"/>
    <w:rsid w:val="00833343"/>
    <w:pPr>
      <w:spacing w:before="100" w:beforeAutospacing="1" w:after="100" w:afterAutospacing="1"/>
      <w:ind w:firstLine="0"/>
      <w:textAlignment w:val="top"/>
    </w:pPr>
    <w:rPr>
      <w:rFonts w:cs="Arial"/>
      <w:sz w:val="24"/>
    </w:rPr>
  </w:style>
  <w:style w:type="paragraph" w:customStyle="1" w:styleId="xl29">
    <w:name w:val="xl29"/>
    <w:basedOn w:val="Normal"/>
    <w:rsid w:val="00833343"/>
    <w:pPr>
      <w:spacing w:before="100" w:beforeAutospacing="1" w:after="100" w:afterAutospacing="1"/>
      <w:ind w:firstLine="0"/>
      <w:textAlignment w:val="top"/>
    </w:pPr>
    <w:rPr>
      <w:rFonts w:cs="Arial"/>
      <w:sz w:val="24"/>
    </w:rPr>
  </w:style>
  <w:style w:type="paragraph" w:customStyle="1" w:styleId="xl30">
    <w:name w:val="xl30"/>
    <w:basedOn w:val="Normal"/>
    <w:rsid w:val="00833343"/>
    <w:pPr>
      <w:spacing w:before="100" w:beforeAutospacing="1" w:after="100" w:afterAutospacing="1"/>
      <w:ind w:firstLine="0"/>
      <w:textAlignment w:val="top"/>
    </w:pPr>
    <w:rPr>
      <w:rFonts w:cs="Arial"/>
      <w:sz w:val="24"/>
    </w:rPr>
  </w:style>
  <w:style w:type="paragraph" w:customStyle="1" w:styleId="xl31">
    <w:name w:val="xl31"/>
    <w:basedOn w:val="Normal"/>
    <w:rsid w:val="00833343"/>
    <w:pPr>
      <w:spacing w:before="100" w:beforeAutospacing="1" w:after="100" w:afterAutospacing="1"/>
      <w:ind w:firstLine="0"/>
      <w:textAlignment w:val="top"/>
    </w:pPr>
    <w:rPr>
      <w:rFonts w:cs="Arial"/>
      <w:sz w:val="24"/>
    </w:rPr>
  </w:style>
  <w:style w:type="paragraph" w:customStyle="1" w:styleId="xl32">
    <w:name w:val="xl32"/>
    <w:basedOn w:val="Normal"/>
    <w:rsid w:val="00833343"/>
    <w:pPr>
      <w:shd w:val="clear" w:color="auto" w:fill="C0C0C0"/>
      <w:spacing w:before="100" w:beforeAutospacing="1" w:after="100" w:afterAutospacing="1"/>
      <w:ind w:firstLine="0"/>
      <w:jc w:val="center"/>
      <w:textAlignment w:val="top"/>
    </w:pPr>
    <w:rPr>
      <w:rFonts w:cs="Arial"/>
      <w:b/>
      <w:bCs/>
      <w:sz w:val="24"/>
    </w:rPr>
  </w:style>
  <w:style w:type="paragraph" w:customStyle="1" w:styleId="xl33">
    <w:name w:val="xl33"/>
    <w:basedOn w:val="Normal"/>
    <w:rsid w:val="00833343"/>
    <w:pPr>
      <w:shd w:val="clear" w:color="auto" w:fill="C0C0C0"/>
      <w:spacing w:before="100" w:beforeAutospacing="1" w:after="100" w:afterAutospacing="1"/>
      <w:ind w:firstLine="0"/>
      <w:jc w:val="center"/>
      <w:textAlignment w:val="top"/>
    </w:pPr>
    <w:rPr>
      <w:rFonts w:cs="Arial"/>
      <w:b/>
      <w:bCs/>
      <w:sz w:val="24"/>
    </w:rPr>
  </w:style>
  <w:style w:type="paragraph" w:customStyle="1" w:styleId="xl34">
    <w:name w:val="xl34"/>
    <w:basedOn w:val="Normal"/>
    <w:rsid w:val="00833343"/>
    <w:pPr>
      <w:spacing w:before="100" w:beforeAutospacing="1" w:after="100" w:afterAutospacing="1"/>
      <w:ind w:firstLine="0"/>
      <w:textAlignment w:val="top"/>
    </w:pPr>
    <w:rPr>
      <w:rFonts w:cs="Arial"/>
      <w:sz w:val="24"/>
    </w:rPr>
  </w:style>
  <w:style w:type="paragraph" w:customStyle="1" w:styleId="xl35">
    <w:name w:val="xl35"/>
    <w:basedOn w:val="Normal"/>
    <w:rsid w:val="00833343"/>
    <w:pPr>
      <w:spacing w:before="100" w:beforeAutospacing="1" w:after="100" w:afterAutospacing="1"/>
      <w:ind w:firstLine="0"/>
      <w:textAlignment w:val="top"/>
    </w:pPr>
    <w:rPr>
      <w:rFonts w:cs="Arial"/>
      <w:sz w:val="24"/>
    </w:rPr>
  </w:style>
  <w:style w:type="paragraph" w:customStyle="1" w:styleId="xl36">
    <w:name w:val="xl36"/>
    <w:basedOn w:val="Normal"/>
    <w:rsid w:val="00833343"/>
    <w:pPr>
      <w:spacing w:before="100" w:beforeAutospacing="1" w:after="100" w:afterAutospacing="1"/>
      <w:ind w:firstLine="0"/>
      <w:jc w:val="right"/>
      <w:textAlignment w:val="top"/>
    </w:pPr>
    <w:rPr>
      <w:rFonts w:cs="Arial"/>
      <w:sz w:val="24"/>
    </w:rPr>
  </w:style>
  <w:style w:type="paragraph" w:customStyle="1" w:styleId="xl37">
    <w:name w:val="xl37"/>
    <w:basedOn w:val="Normal"/>
    <w:rsid w:val="00833343"/>
    <w:pPr>
      <w:shd w:val="clear" w:color="auto" w:fill="C0C0C0"/>
      <w:spacing w:before="100" w:beforeAutospacing="1" w:after="100" w:afterAutospacing="1"/>
      <w:ind w:firstLine="0"/>
      <w:jc w:val="center"/>
      <w:textAlignment w:val="top"/>
    </w:pPr>
    <w:rPr>
      <w:rFonts w:cs="Arial"/>
      <w:b/>
      <w:bCs/>
      <w:sz w:val="24"/>
    </w:rPr>
  </w:style>
  <w:style w:type="paragraph" w:customStyle="1" w:styleId="xl38">
    <w:name w:val="xl38"/>
    <w:basedOn w:val="Normal"/>
    <w:rsid w:val="00833343"/>
    <w:pPr>
      <w:shd w:val="clear" w:color="auto" w:fill="C0C0C0"/>
      <w:spacing w:before="100" w:beforeAutospacing="1" w:after="100" w:afterAutospacing="1"/>
      <w:ind w:firstLine="0"/>
      <w:jc w:val="center"/>
      <w:textAlignment w:val="top"/>
    </w:pPr>
    <w:rPr>
      <w:rFonts w:cs="Arial"/>
      <w:b/>
      <w:bCs/>
      <w:sz w:val="24"/>
    </w:rPr>
  </w:style>
  <w:style w:type="paragraph" w:customStyle="1" w:styleId="xl39">
    <w:name w:val="xl39"/>
    <w:basedOn w:val="Normal"/>
    <w:rsid w:val="00833343"/>
    <w:pPr>
      <w:spacing w:before="100" w:beforeAutospacing="1" w:after="100" w:afterAutospacing="1"/>
      <w:ind w:firstLine="0"/>
      <w:jc w:val="center"/>
      <w:textAlignment w:val="top"/>
    </w:pPr>
    <w:rPr>
      <w:rFonts w:cs="Arial"/>
      <w:b/>
      <w:bCs/>
      <w:sz w:val="24"/>
    </w:rPr>
  </w:style>
  <w:style w:type="paragraph" w:customStyle="1" w:styleId="xl40">
    <w:name w:val="xl40"/>
    <w:basedOn w:val="Normal"/>
    <w:rsid w:val="00833343"/>
    <w:pPr>
      <w:spacing w:before="100" w:beforeAutospacing="1" w:after="100" w:afterAutospacing="1"/>
      <w:ind w:firstLine="0"/>
      <w:jc w:val="center"/>
      <w:textAlignment w:val="top"/>
    </w:pPr>
    <w:rPr>
      <w:rFonts w:cs="Arial"/>
      <w:b/>
      <w:bCs/>
      <w:sz w:val="24"/>
    </w:rPr>
  </w:style>
  <w:style w:type="paragraph" w:customStyle="1" w:styleId="xl41">
    <w:name w:val="xl41"/>
    <w:basedOn w:val="Normal"/>
    <w:rsid w:val="00833343"/>
    <w:pPr>
      <w:spacing w:before="100" w:beforeAutospacing="1" w:after="100" w:afterAutospacing="1"/>
      <w:ind w:firstLine="0"/>
      <w:jc w:val="center"/>
      <w:textAlignment w:val="top"/>
    </w:pPr>
    <w:rPr>
      <w:rFonts w:cs="Arial"/>
      <w:b/>
      <w:bCs/>
      <w:sz w:val="24"/>
    </w:rPr>
  </w:style>
  <w:style w:type="paragraph" w:customStyle="1" w:styleId="xl42">
    <w:name w:val="xl42"/>
    <w:basedOn w:val="Normal"/>
    <w:rsid w:val="00833343"/>
    <w:pPr>
      <w:spacing w:before="100" w:beforeAutospacing="1" w:after="100" w:afterAutospacing="1"/>
      <w:ind w:firstLine="0"/>
      <w:jc w:val="center"/>
      <w:textAlignment w:val="top"/>
    </w:pPr>
    <w:rPr>
      <w:rFonts w:cs="Arial"/>
      <w:sz w:val="24"/>
    </w:rPr>
  </w:style>
  <w:style w:type="paragraph" w:customStyle="1" w:styleId="xl66">
    <w:name w:val="xl66"/>
    <w:basedOn w:val="Normal"/>
    <w:rsid w:val="00A5046D"/>
    <w:pPr>
      <w:pBdr>
        <w:top w:val="single" w:sz="8" w:space="0" w:color="auto"/>
        <w:bottom w:val="single" w:sz="8" w:space="0" w:color="auto"/>
      </w:pBdr>
      <w:shd w:val="clear" w:color="000000" w:fill="B8CCE4"/>
      <w:spacing w:before="100" w:beforeAutospacing="1" w:after="100" w:afterAutospacing="1"/>
      <w:ind w:firstLine="0"/>
      <w:jc w:val="center"/>
      <w:textAlignment w:val="center"/>
    </w:pPr>
    <w:rPr>
      <w:rFonts w:ascii="Times New Roman" w:hAnsi="Times New Roman"/>
      <w:b/>
      <w:bCs/>
      <w:sz w:val="16"/>
      <w:szCs w:val="16"/>
    </w:rPr>
  </w:style>
  <w:style w:type="paragraph" w:customStyle="1" w:styleId="xl67">
    <w:name w:val="xl67"/>
    <w:basedOn w:val="Normal"/>
    <w:rsid w:val="00A5046D"/>
    <w:pPr>
      <w:pBdr>
        <w:top w:val="single" w:sz="8" w:space="0" w:color="auto"/>
        <w:bottom w:val="single" w:sz="4" w:space="0" w:color="C0C0C0"/>
      </w:pBdr>
      <w:shd w:val="clear" w:color="000000" w:fill="D6E3BC"/>
      <w:spacing w:before="100" w:beforeAutospacing="1" w:after="100" w:afterAutospacing="1"/>
      <w:ind w:firstLine="0"/>
      <w:jc w:val="center"/>
      <w:textAlignment w:val="center"/>
    </w:pPr>
    <w:rPr>
      <w:rFonts w:ascii="Times New Roman" w:hAnsi="Times New Roman"/>
      <w:b/>
      <w:bCs/>
      <w:sz w:val="16"/>
      <w:szCs w:val="16"/>
    </w:rPr>
  </w:style>
  <w:style w:type="paragraph" w:customStyle="1" w:styleId="xl68">
    <w:name w:val="xl68"/>
    <w:basedOn w:val="Normal"/>
    <w:rsid w:val="00A5046D"/>
    <w:pPr>
      <w:pBdr>
        <w:top w:val="single" w:sz="4" w:space="0" w:color="C0C0C0"/>
        <w:left w:val="single" w:sz="4" w:space="0" w:color="C0C0C0"/>
        <w:bottom w:val="single" w:sz="4" w:space="0" w:color="C0C0C0"/>
        <w:right w:val="single" w:sz="4" w:space="0" w:color="C0C0C0"/>
      </w:pBdr>
      <w:spacing w:before="100" w:beforeAutospacing="1" w:after="100" w:afterAutospacing="1"/>
      <w:ind w:firstLine="0"/>
      <w:jc w:val="center"/>
    </w:pPr>
    <w:rPr>
      <w:rFonts w:ascii="Times New Roman" w:hAnsi="Times New Roman"/>
      <w:b/>
      <w:bCs/>
      <w:color w:val="000000"/>
      <w:sz w:val="16"/>
      <w:szCs w:val="16"/>
    </w:rPr>
  </w:style>
  <w:style w:type="paragraph" w:customStyle="1" w:styleId="xl69">
    <w:name w:val="xl69"/>
    <w:basedOn w:val="Normal"/>
    <w:rsid w:val="00A5046D"/>
    <w:pPr>
      <w:pBdr>
        <w:top w:val="single" w:sz="4" w:space="0" w:color="C0C0C0"/>
      </w:pBdr>
      <w:shd w:val="clear" w:color="000000" w:fill="D6E3BC"/>
      <w:spacing w:before="100" w:beforeAutospacing="1" w:after="100" w:afterAutospacing="1"/>
      <w:ind w:firstLine="0"/>
      <w:jc w:val="center"/>
      <w:textAlignment w:val="center"/>
    </w:pPr>
    <w:rPr>
      <w:rFonts w:ascii="Times New Roman" w:hAnsi="Times New Roman"/>
      <w:b/>
      <w:bCs/>
      <w:sz w:val="16"/>
      <w:szCs w:val="16"/>
    </w:rPr>
  </w:style>
  <w:style w:type="paragraph" w:customStyle="1" w:styleId="xl70">
    <w:name w:val="xl70"/>
    <w:basedOn w:val="Normal"/>
    <w:rsid w:val="00A5046D"/>
    <w:pPr>
      <w:pBdr>
        <w:top w:val="single" w:sz="4" w:space="0" w:color="C0C0C0"/>
        <w:right w:val="single" w:sz="4" w:space="0" w:color="C0C0C0"/>
      </w:pBdr>
      <w:shd w:val="clear" w:color="000000" w:fill="D6E3BC"/>
      <w:spacing w:before="100" w:beforeAutospacing="1" w:after="100" w:afterAutospacing="1"/>
      <w:ind w:firstLine="0"/>
      <w:jc w:val="center"/>
      <w:textAlignment w:val="center"/>
    </w:pPr>
    <w:rPr>
      <w:rFonts w:ascii="Times New Roman" w:hAnsi="Times New Roman"/>
      <w:b/>
      <w:bCs/>
      <w:sz w:val="16"/>
      <w:szCs w:val="16"/>
    </w:rPr>
  </w:style>
  <w:style w:type="paragraph" w:customStyle="1" w:styleId="xl71">
    <w:name w:val="xl71"/>
    <w:basedOn w:val="Normal"/>
    <w:rsid w:val="00A5046D"/>
    <w:pPr>
      <w:shd w:val="clear" w:color="000000" w:fill="D6E3BC"/>
      <w:spacing w:before="100" w:beforeAutospacing="1" w:after="100" w:afterAutospacing="1"/>
      <w:ind w:firstLine="0"/>
      <w:jc w:val="center"/>
      <w:textAlignment w:val="center"/>
    </w:pPr>
    <w:rPr>
      <w:rFonts w:ascii="Times New Roman" w:hAnsi="Times New Roman"/>
      <w:b/>
      <w:bCs/>
      <w:sz w:val="16"/>
      <w:szCs w:val="16"/>
    </w:rPr>
  </w:style>
  <w:style w:type="paragraph" w:customStyle="1" w:styleId="xl72">
    <w:name w:val="xl72"/>
    <w:basedOn w:val="Normal"/>
    <w:rsid w:val="00A5046D"/>
    <w:pPr>
      <w:pBdr>
        <w:right w:val="single" w:sz="4" w:space="0" w:color="C0C0C0"/>
      </w:pBdr>
      <w:shd w:val="clear" w:color="000000" w:fill="D6E3BC"/>
      <w:spacing w:before="100" w:beforeAutospacing="1" w:after="100" w:afterAutospacing="1"/>
      <w:ind w:firstLine="0"/>
      <w:jc w:val="center"/>
      <w:textAlignment w:val="center"/>
    </w:pPr>
    <w:rPr>
      <w:rFonts w:ascii="Times New Roman" w:hAnsi="Times New Roman"/>
      <w:b/>
      <w:bCs/>
      <w:sz w:val="16"/>
      <w:szCs w:val="16"/>
    </w:rPr>
  </w:style>
  <w:style w:type="character" w:styleId="PlaceholderText">
    <w:name w:val="Placeholder Text"/>
    <w:basedOn w:val="DefaultParagraphFont"/>
    <w:uiPriority w:val="67"/>
    <w:rsid w:val="00A74EB8"/>
    <w:rPr>
      <w:color w:val="808080"/>
    </w:rPr>
  </w:style>
  <w:style w:type="character" w:styleId="UnresolvedMention">
    <w:name w:val="Unresolved Mention"/>
    <w:basedOn w:val="DefaultParagraphFont"/>
    <w:uiPriority w:val="99"/>
    <w:semiHidden/>
    <w:unhideWhenUsed/>
    <w:rsid w:val="00190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48048">
      <w:bodyDiv w:val="1"/>
      <w:marLeft w:val="0"/>
      <w:marRight w:val="0"/>
      <w:marTop w:val="0"/>
      <w:marBottom w:val="0"/>
      <w:divBdr>
        <w:top w:val="none" w:sz="0" w:space="0" w:color="auto"/>
        <w:left w:val="none" w:sz="0" w:space="0" w:color="auto"/>
        <w:bottom w:val="none" w:sz="0" w:space="0" w:color="auto"/>
        <w:right w:val="none" w:sz="0" w:space="0" w:color="auto"/>
      </w:divBdr>
    </w:div>
    <w:div w:id="95641229">
      <w:bodyDiv w:val="1"/>
      <w:marLeft w:val="0"/>
      <w:marRight w:val="0"/>
      <w:marTop w:val="0"/>
      <w:marBottom w:val="0"/>
      <w:divBdr>
        <w:top w:val="none" w:sz="0" w:space="0" w:color="auto"/>
        <w:left w:val="none" w:sz="0" w:space="0" w:color="auto"/>
        <w:bottom w:val="none" w:sz="0" w:space="0" w:color="auto"/>
        <w:right w:val="none" w:sz="0" w:space="0" w:color="auto"/>
      </w:divBdr>
    </w:div>
    <w:div w:id="227300216">
      <w:bodyDiv w:val="1"/>
      <w:marLeft w:val="0"/>
      <w:marRight w:val="0"/>
      <w:marTop w:val="0"/>
      <w:marBottom w:val="0"/>
      <w:divBdr>
        <w:top w:val="none" w:sz="0" w:space="0" w:color="auto"/>
        <w:left w:val="none" w:sz="0" w:space="0" w:color="auto"/>
        <w:bottom w:val="none" w:sz="0" w:space="0" w:color="auto"/>
        <w:right w:val="none" w:sz="0" w:space="0" w:color="auto"/>
      </w:divBdr>
    </w:div>
    <w:div w:id="423459116">
      <w:bodyDiv w:val="1"/>
      <w:marLeft w:val="0"/>
      <w:marRight w:val="0"/>
      <w:marTop w:val="0"/>
      <w:marBottom w:val="0"/>
      <w:divBdr>
        <w:top w:val="none" w:sz="0" w:space="0" w:color="auto"/>
        <w:left w:val="none" w:sz="0" w:space="0" w:color="auto"/>
        <w:bottom w:val="none" w:sz="0" w:space="0" w:color="auto"/>
        <w:right w:val="none" w:sz="0" w:space="0" w:color="auto"/>
      </w:divBdr>
    </w:div>
    <w:div w:id="595090202">
      <w:bodyDiv w:val="1"/>
      <w:marLeft w:val="0"/>
      <w:marRight w:val="0"/>
      <w:marTop w:val="0"/>
      <w:marBottom w:val="0"/>
      <w:divBdr>
        <w:top w:val="none" w:sz="0" w:space="0" w:color="auto"/>
        <w:left w:val="none" w:sz="0" w:space="0" w:color="auto"/>
        <w:bottom w:val="none" w:sz="0" w:space="0" w:color="auto"/>
        <w:right w:val="none" w:sz="0" w:space="0" w:color="auto"/>
      </w:divBdr>
    </w:div>
    <w:div w:id="607204094">
      <w:bodyDiv w:val="1"/>
      <w:marLeft w:val="0"/>
      <w:marRight w:val="0"/>
      <w:marTop w:val="0"/>
      <w:marBottom w:val="0"/>
      <w:divBdr>
        <w:top w:val="none" w:sz="0" w:space="0" w:color="auto"/>
        <w:left w:val="none" w:sz="0" w:space="0" w:color="auto"/>
        <w:bottom w:val="none" w:sz="0" w:space="0" w:color="auto"/>
        <w:right w:val="none" w:sz="0" w:space="0" w:color="auto"/>
      </w:divBdr>
    </w:div>
    <w:div w:id="650257436">
      <w:bodyDiv w:val="1"/>
      <w:marLeft w:val="0"/>
      <w:marRight w:val="0"/>
      <w:marTop w:val="0"/>
      <w:marBottom w:val="0"/>
      <w:divBdr>
        <w:top w:val="none" w:sz="0" w:space="0" w:color="auto"/>
        <w:left w:val="none" w:sz="0" w:space="0" w:color="auto"/>
        <w:bottom w:val="none" w:sz="0" w:space="0" w:color="auto"/>
        <w:right w:val="none" w:sz="0" w:space="0" w:color="auto"/>
      </w:divBdr>
    </w:div>
    <w:div w:id="768278622">
      <w:bodyDiv w:val="1"/>
      <w:marLeft w:val="0"/>
      <w:marRight w:val="0"/>
      <w:marTop w:val="0"/>
      <w:marBottom w:val="0"/>
      <w:divBdr>
        <w:top w:val="none" w:sz="0" w:space="0" w:color="auto"/>
        <w:left w:val="none" w:sz="0" w:space="0" w:color="auto"/>
        <w:bottom w:val="none" w:sz="0" w:space="0" w:color="auto"/>
        <w:right w:val="none" w:sz="0" w:space="0" w:color="auto"/>
      </w:divBdr>
    </w:div>
    <w:div w:id="798915852">
      <w:bodyDiv w:val="1"/>
      <w:marLeft w:val="0"/>
      <w:marRight w:val="0"/>
      <w:marTop w:val="0"/>
      <w:marBottom w:val="0"/>
      <w:divBdr>
        <w:top w:val="none" w:sz="0" w:space="0" w:color="auto"/>
        <w:left w:val="none" w:sz="0" w:space="0" w:color="auto"/>
        <w:bottom w:val="none" w:sz="0" w:space="0" w:color="auto"/>
        <w:right w:val="none" w:sz="0" w:space="0" w:color="auto"/>
      </w:divBdr>
    </w:div>
    <w:div w:id="806241854">
      <w:bodyDiv w:val="1"/>
      <w:marLeft w:val="0"/>
      <w:marRight w:val="0"/>
      <w:marTop w:val="0"/>
      <w:marBottom w:val="0"/>
      <w:divBdr>
        <w:top w:val="none" w:sz="0" w:space="0" w:color="auto"/>
        <w:left w:val="none" w:sz="0" w:space="0" w:color="auto"/>
        <w:bottom w:val="none" w:sz="0" w:space="0" w:color="auto"/>
        <w:right w:val="none" w:sz="0" w:space="0" w:color="auto"/>
      </w:divBdr>
    </w:div>
    <w:div w:id="1063798531">
      <w:bodyDiv w:val="1"/>
      <w:marLeft w:val="0"/>
      <w:marRight w:val="0"/>
      <w:marTop w:val="0"/>
      <w:marBottom w:val="0"/>
      <w:divBdr>
        <w:top w:val="none" w:sz="0" w:space="0" w:color="auto"/>
        <w:left w:val="none" w:sz="0" w:space="0" w:color="auto"/>
        <w:bottom w:val="none" w:sz="0" w:space="0" w:color="auto"/>
        <w:right w:val="none" w:sz="0" w:space="0" w:color="auto"/>
      </w:divBdr>
    </w:div>
    <w:div w:id="1137993980">
      <w:bodyDiv w:val="1"/>
      <w:marLeft w:val="0"/>
      <w:marRight w:val="0"/>
      <w:marTop w:val="0"/>
      <w:marBottom w:val="0"/>
      <w:divBdr>
        <w:top w:val="none" w:sz="0" w:space="0" w:color="auto"/>
        <w:left w:val="none" w:sz="0" w:space="0" w:color="auto"/>
        <w:bottom w:val="none" w:sz="0" w:space="0" w:color="auto"/>
        <w:right w:val="none" w:sz="0" w:space="0" w:color="auto"/>
      </w:divBdr>
    </w:div>
    <w:div w:id="1176261778">
      <w:bodyDiv w:val="1"/>
      <w:marLeft w:val="0"/>
      <w:marRight w:val="0"/>
      <w:marTop w:val="0"/>
      <w:marBottom w:val="0"/>
      <w:divBdr>
        <w:top w:val="none" w:sz="0" w:space="0" w:color="auto"/>
        <w:left w:val="none" w:sz="0" w:space="0" w:color="auto"/>
        <w:bottom w:val="none" w:sz="0" w:space="0" w:color="auto"/>
        <w:right w:val="none" w:sz="0" w:space="0" w:color="auto"/>
      </w:divBdr>
    </w:div>
    <w:div w:id="1201822357">
      <w:bodyDiv w:val="1"/>
      <w:marLeft w:val="0"/>
      <w:marRight w:val="0"/>
      <w:marTop w:val="0"/>
      <w:marBottom w:val="0"/>
      <w:divBdr>
        <w:top w:val="none" w:sz="0" w:space="0" w:color="auto"/>
        <w:left w:val="none" w:sz="0" w:space="0" w:color="auto"/>
        <w:bottom w:val="none" w:sz="0" w:space="0" w:color="auto"/>
        <w:right w:val="none" w:sz="0" w:space="0" w:color="auto"/>
      </w:divBdr>
    </w:div>
    <w:div w:id="1288470196">
      <w:bodyDiv w:val="1"/>
      <w:marLeft w:val="0"/>
      <w:marRight w:val="0"/>
      <w:marTop w:val="0"/>
      <w:marBottom w:val="0"/>
      <w:divBdr>
        <w:top w:val="none" w:sz="0" w:space="0" w:color="auto"/>
        <w:left w:val="none" w:sz="0" w:space="0" w:color="auto"/>
        <w:bottom w:val="none" w:sz="0" w:space="0" w:color="auto"/>
        <w:right w:val="none" w:sz="0" w:space="0" w:color="auto"/>
      </w:divBdr>
    </w:div>
    <w:div w:id="1327245112">
      <w:bodyDiv w:val="1"/>
      <w:marLeft w:val="0"/>
      <w:marRight w:val="0"/>
      <w:marTop w:val="0"/>
      <w:marBottom w:val="0"/>
      <w:divBdr>
        <w:top w:val="none" w:sz="0" w:space="0" w:color="auto"/>
        <w:left w:val="none" w:sz="0" w:space="0" w:color="auto"/>
        <w:bottom w:val="none" w:sz="0" w:space="0" w:color="auto"/>
        <w:right w:val="none" w:sz="0" w:space="0" w:color="auto"/>
      </w:divBdr>
    </w:div>
    <w:div w:id="1329333947">
      <w:bodyDiv w:val="1"/>
      <w:marLeft w:val="0"/>
      <w:marRight w:val="0"/>
      <w:marTop w:val="0"/>
      <w:marBottom w:val="0"/>
      <w:divBdr>
        <w:top w:val="none" w:sz="0" w:space="0" w:color="auto"/>
        <w:left w:val="none" w:sz="0" w:space="0" w:color="auto"/>
        <w:bottom w:val="none" w:sz="0" w:space="0" w:color="auto"/>
        <w:right w:val="none" w:sz="0" w:space="0" w:color="auto"/>
      </w:divBdr>
    </w:div>
    <w:div w:id="1451707273">
      <w:bodyDiv w:val="1"/>
      <w:marLeft w:val="0"/>
      <w:marRight w:val="0"/>
      <w:marTop w:val="0"/>
      <w:marBottom w:val="0"/>
      <w:divBdr>
        <w:top w:val="none" w:sz="0" w:space="0" w:color="auto"/>
        <w:left w:val="none" w:sz="0" w:space="0" w:color="auto"/>
        <w:bottom w:val="none" w:sz="0" w:space="0" w:color="auto"/>
        <w:right w:val="none" w:sz="0" w:space="0" w:color="auto"/>
      </w:divBdr>
    </w:div>
    <w:div w:id="1893497017">
      <w:bodyDiv w:val="1"/>
      <w:marLeft w:val="0"/>
      <w:marRight w:val="0"/>
      <w:marTop w:val="0"/>
      <w:marBottom w:val="0"/>
      <w:divBdr>
        <w:top w:val="none" w:sz="0" w:space="0" w:color="auto"/>
        <w:left w:val="none" w:sz="0" w:space="0" w:color="auto"/>
        <w:bottom w:val="none" w:sz="0" w:space="0" w:color="auto"/>
        <w:right w:val="none" w:sz="0" w:space="0" w:color="auto"/>
      </w:divBdr>
    </w:div>
    <w:div w:id="2021197305">
      <w:bodyDiv w:val="1"/>
      <w:marLeft w:val="0"/>
      <w:marRight w:val="0"/>
      <w:marTop w:val="0"/>
      <w:marBottom w:val="0"/>
      <w:divBdr>
        <w:top w:val="none" w:sz="0" w:space="0" w:color="auto"/>
        <w:left w:val="none" w:sz="0" w:space="0" w:color="auto"/>
        <w:bottom w:val="none" w:sz="0" w:space="0" w:color="auto"/>
        <w:right w:val="none" w:sz="0" w:space="0" w:color="auto"/>
      </w:divBdr>
      <w:divsChild>
        <w:div w:id="1555772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8124542">
              <w:marLeft w:val="0"/>
              <w:marRight w:val="0"/>
              <w:marTop w:val="0"/>
              <w:marBottom w:val="0"/>
              <w:divBdr>
                <w:top w:val="none" w:sz="0" w:space="0" w:color="auto"/>
                <w:left w:val="none" w:sz="0" w:space="0" w:color="auto"/>
                <w:bottom w:val="none" w:sz="0" w:space="0" w:color="auto"/>
                <w:right w:val="none" w:sz="0" w:space="0" w:color="auto"/>
              </w:divBdr>
              <w:divsChild>
                <w:div w:id="1077481408">
                  <w:marLeft w:val="0"/>
                  <w:marRight w:val="0"/>
                  <w:marTop w:val="0"/>
                  <w:marBottom w:val="0"/>
                  <w:divBdr>
                    <w:top w:val="none" w:sz="0" w:space="0" w:color="auto"/>
                    <w:left w:val="none" w:sz="0" w:space="0" w:color="auto"/>
                    <w:bottom w:val="none" w:sz="0" w:space="0" w:color="auto"/>
                    <w:right w:val="none" w:sz="0" w:space="0" w:color="auto"/>
                  </w:divBdr>
                  <w:divsChild>
                    <w:div w:id="697239381">
                      <w:marLeft w:val="0"/>
                      <w:marRight w:val="0"/>
                      <w:marTop w:val="0"/>
                      <w:marBottom w:val="0"/>
                      <w:divBdr>
                        <w:top w:val="none" w:sz="0" w:space="0" w:color="auto"/>
                        <w:left w:val="none" w:sz="0" w:space="0" w:color="auto"/>
                        <w:bottom w:val="none" w:sz="0" w:space="0" w:color="auto"/>
                        <w:right w:val="none" w:sz="0" w:space="0" w:color="auto"/>
                      </w:divBdr>
                      <w:divsChild>
                        <w:div w:id="976226993">
                          <w:marLeft w:val="0"/>
                          <w:marRight w:val="0"/>
                          <w:marTop w:val="0"/>
                          <w:marBottom w:val="0"/>
                          <w:divBdr>
                            <w:top w:val="none" w:sz="0" w:space="0" w:color="auto"/>
                            <w:left w:val="none" w:sz="0" w:space="0" w:color="auto"/>
                            <w:bottom w:val="none" w:sz="0" w:space="0" w:color="auto"/>
                            <w:right w:val="none" w:sz="0" w:space="0" w:color="auto"/>
                          </w:divBdr>
                          <w:divsChild>
                            <w:div w:id="577835167">
                              <w:marLeft w:val="0"/>
                              <w:marRight w:val="0"/>
                              <w:marTop w:val="0"/>
                              <w:marBottom w:val="0"/>
                              <w:divBdr>
                                <w:top w:val="none" w:sz="0" w:space="0" w:color="auto"/>
                                <w:left w:val="none" w:sz="0" w:space="0" w:color="auto"/>
                                <w:bottom w:val="none" w:sz="0" w:space="0" w:color="auto"/>
                                <w:right w:val="none" w:sz="0" w:space="0" w:color="auto"/>
                              </w:divBdr>
                              <w:divsChild>
                                <w:div w:id="638269058">
                                  <w:marLeft w:val="0"/>
                                  <w:marRight w:val="0"/>
                                  <w:marTop w:val="0"/>
                                  <w:marBottom w:val="0"/>
                                  <w:divBdr>
                                    <w:top w:val="none" w:sz="0" w:space="0" w:color="auto"/>
                                    <w:left w:val="none" w:sz="0" w:space="0" w:color="auto"/>
                                    <w:bottom w:val="none" w:sz="0" w:space="0" w:color="auto"/>
                                    <w:right w:val="none" w:sz="0" w:space="0" w:color="auto"/>
                                  </w:divBdr>
                                  <w:divsChild>
                                    <w:div w:id="230502194">
                                      <w:marLeft w:val="0"/>
                                      <w:marRight w:val="0"/>
                                      <w:marTop w:val="0"/>
                                      <w:marBottom w:val="0"/>
                                      <w:divBdr>
                                        <w:top w:val="none" w:sz="0" w:space="0" w:color="auto"/>
                                        <w:left w:val="none" w:sz="0" w:space="0" w:color="auto"/>
                                        <w:bottom w:val="none" w:sz="0" w:space="0" w:color="auto"/>
                                        <w:right w:val="none" w:sz="0" w:space="0" w:color="auto"/>
                                      </w:divBdr>
                                      <w:divsChild>
                                        <w:div w:id="659582213">
                                          <w:marLeft w:val="0"/>
                                          <w:marRight w:val="0"/>
                                          <w:marTop w:val="0"/>
                                          <w:marBottom w:val="0"/>
                                          <w:divBdr>
                                            <w:top w:val="none" w:sz="0" w:space="0" w:color="auto"/>
                                            <w:left w:val="none" w:sz="0" w:space="0" w:color="auto"/>
                                            <w:bottom w:val="none" w:sz="0" w:space="0" w:color="auto"/>
                                            <w:right w:val="none" w:sz="0" w:space="0" w:color="auto"/>
                                          </w:divBdr>
                                          <w:divsChild>
                                            <w:div w:id="1014844602">
                                              <w:marLeft w:val="0"/>
                                              <w:marRight w:val="0"/>
                                              <w:marTop w:val="0"/>
                                              <w:marBottom w:val="0"/>
                                              <w:divBdr>
                                                <w:top w:val="none" w:sz="0" w:space="0" w:color="auto"/>
                                                <w:left w:val="none" w:sz="0" w:space="0" w:color="auto"/>
                                                <w:bottom w:val="none" w:sz="0" w:space="0" w:color="auto"/>
                                                <w:right w:val="none" w:sz="0" w:space="0" w:color="auto"/>
                                              </w:divBdr>
                                              <w:divsChild>
                                                <w:div w:id="128859892">
                                                  <w:marLeft w:val="0"/>
                                                  <w:marRight w:val="0"/>
                                                  <w:marTop w:val="0"/>
                                                  <w:marBottom w:val="0"/>
                                                  <w:divBdr>
                                                    <w:top w:val="none" w:sz="0" w:space="0" w:color="auto"/>
                                                    <w:left w:val="none" w:sz="0" w:space="0" w:color="auto"/>
                                                    <w:bottom w:val="none" w:sz="0" w:space="0" w:color="auto"/>
                                                    <w:right w:val="none" w:sz="0" w:space="0" w:color="auto"/>
                                                  </w:divBdr>
                                                  <w:divsChild>
                                                    <w:div w:id="933169077">
                                                      <w:marLeft w:val="0"/>
                                                      <w:marRight w:val="0"/>
                                                      <w:marTop w:val="0"/>
                                                      <w:marBottom w:val="0"/>
                                                      <w:divBdr>
                                                        <w:top w:val="none" w:sz="0" w:space="0" w:color="auto"/>
                                                        <w:left w:val="none" w:sz="0" w:space="0" w:color="auto"/>
                                                        <w:bottom w:val="none" w:sz="0" w:space="0" w:color="auto"/>
                                                        <w:right w:val="none" w:sz="0" w:space="0" w:color="auto"/>
                                                      </w:divBdr>
                                                    </w:div>
                                                    <w:div w:id="1200509872">
                                                      <w:marLeft w:val="0"/>
                                                      <w:marRight w:val="0"/>
                                                      <w:marTop w:val="0"/>
                                                      <w:marBottom w:val="0"/>
                                                      <w:divBdr>
                                                        <w:top w:val="none" w:sz="0" w:space="0" w:color="auto"/>
                                                        <w:left w:val="none" w:sz="0" w:space="0" w:color="auto"/>
                                                        <w:bottom w:val="none" w:sz="0" w:space="0" w:color="auto"/>
                                                        <w:right w:val="none" w:sz="0" w:space="0" w:color="auto"/>
                                                      </w:divBdr>
                                                    </w:div>
                                                    <w:div w:id="42869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4988485">
      <w:bodyDiv w:val="1"/>
      <w:marLeft w:val="0"/>
      <w:marRight w:val="0"/>
      <w:marTop w:val="0"/>
      <w:marBottom w:val="0"/>
      <w:divBdr>
        <w:top w:val="none" w:sz="0" w:space="0" w:color="auto"/>
        <w:left w:val="none" w:sz="0" w:space="0" w:color="auto"/>
        <w:bottom w:val="none" w:sz="0" w:space="0" w:color="auto"/>
        <w:right w:val="none" w:sz="0" w:space="0" w:color="auto"/>
      </w:divBdr>
    </w:div>
    <w:div w:id="2093776076">
      <w:bodyDiv w:val="1"/>
      <w:marLeft w:val="0"/>
      <w:marRight w:val="0"/>
      <w:marTop w:val="0"/>
      <w:marBottom w:val="0"/>
      <w:divBdr>
        <w:top w:val="none" w:sz="0" w:space="0" w:color="auto"/>
        <w:left w:val="none" w:sz="0" w:space="0" w:color="auto"/>
        <w:bottom w:val="none" w:sz="0" w:space="0" w:color="auto"/>
        <w:right w:val="none" w:sz="0" w:space="0" w:color="auto"/>
      </w:divBdr>
      <w:divsChild>
        <w:div w:id="1351225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9486636">
              <w:marLeft w:val="0"/>
              <w:marRight w:val="0"/>
              <w:marTop w:val="0"/>
              <w:marBottom w:val="0"/>
              <w:divBdr>
                <w:top w:val="none" w:sz="0" w:space="0" w:color="auto"/>
                <w:left w:val="none" w:sz="0" w:space="0" w:color="auto"/>
                <w:bottom w:val="none" w:sz="0" w:space="0" w:color="auto"/>
                <w:right w:val="none" w:sz="0" w:space="0" w:color="auto"/>
              </w:divBdr>
              <w:divsChild>
                <w:div w:id="736165994">
                  <w:marLeft w:val="0"/>
                  <w:marRight w:val="0"/>
                  <w:marTop w:val="0"/>
                  <w:marBottom w:val="0"/>
                  <w:divBdr>
                    <w:top w:val="none" w:sz="0" w:space="0" w:color="auto"/>
                    <w:left w:val="none" w:sz="0" w:space="0" w:color="auto"/>
                    <w:bottom w:val="none" w:sz="0" w:space="0" w:color="auto"/>
                    <w:right w:val="none" w:sz="0" w:space="0" w:color="auto"/>
                  </w:divBdr>
                  <w:divsChild>
                    <w:div w:id="832992415">
                      <w:marLeft w:val="0"/>
                      <w:marRight w:val="0"/>
                      <w:marTop w:val="0"/>
                      <w:marBottom w:val="0"/>
                      <w:divBdr>
                        <w:top w:val="none" w:sz="0" w:space="0" w:color="auto"/>
                        <w:left w:val="none" w:sz="0" w:space="0" w:color="auto"/>
                        <w:bottom w:val="none" w:sz="0" w:space="0" w:color="auto"/>
                        <w:right w:val="none" w:sz="0" w:space="0" w:color="auto"/>
                      </w:divBdr>
                      <w:divsChild>
                        <w:div w:id="1422800287">
                          <w:marLeft w:val="0"/>
                          <w:marRight w:val="0"/>
                          <w:marTop w:val="0"/>
                          <w:marBottom w:val="0"/>
                          <w:divBdr>
                            <w:top w:val="none" w:sz="0" w:space="0" w:color="auto"/>
                            <w:left w:val="none" w:sz="0" w:space="0" w:color="auto"/>
                            <w:bottom w:val="none" w:sz="0" w:space="0" w:color="auto"/>
                            <w:right w:val="none" w:sz="0" w:space="0" w:color="auto"/>
                          </w:divBdr>
                          <w:divsChild>
                            <w:div w:id="1346248078">
                              <w:marLeft w:val="0"/>
                              <w:marRight w:val="0"/>
                              <w:marTop w:val="0"/>
                              <w:marBottom w:val="0"/>
                              <w:divBdr>
                                <w:top w:val="none" w:sz="0" w:space="0" w:color="auto"/>
                                <w:left w:val="none" w:sz="0" w:space="0" w:color="auto"/>
                                <w:bottom w:val="none" w:sz="0" w:space="0" w:color="auto"/>
                                <w:right w:val="none" w:sz="0" w:space="0" w:color="auto"/>
                              </w:divBdr>
                              <w:divsChild>
                                <w:div w:id="599678961">
                                  <w:marLeft w:val="0"/>
                                  <w:marRight w:val="0"/>
                                  <w:marTop w:val="0"/>
                                  <w:marBottom w:val="0"/>
                                  <w:divBdr>
                                    <w:top w:val="none" w:sz="0" w:space="0" w:color="auto"/>
                                    <w:left w:val="none" w:sz="0" w:space="0" w:color="auto"/>
                                    <w:bottom w:val="none" w:sz="0" w:space="0" w:color="auto"/>
                                    <w:right w:val="none" w:sz="0" w:space="0" w:color="auto"/>
                                  </w:divBdr>
                                  <w:divsChild>
                                    <w:div w:id="699818592">
                                      <w:marLeft w:val="0"/>
                                      <w:marRight w:val="0"/>
                                      <w:marTop w:val="0"/>
                                      <w:marBottom w:val="0"/>
                                      <w:divBdr>
                                        <w:top w:val="none" w:sz="0" w:space="0" w:color="auto"/>
                                        <w:left w:val="none" w:sz="0" w:space="0" w:color="auto"/>
                                        <w:bottom w:val="none" w:sz="0" w:space="0" w:color="auto"/>
                                        <w:right w:val="none" w:sz="0" w:space="0" w:color="auto"/>
                                      </w:divBdr>
                                      <w:divsChild>
                                        <w:div w:id="965813552">
                                          <w:marLeft w:val="0"/>
                                          <w:marRight w:val="0"/>
                                          <w:marTop w:val="0"/>
                                          <w:marBottom w:val="0"/>
                                          <w:divBdr>
                                            <w:top w:val="none" w:sz="0" w:space="0" w:color="auto"/>
                                            <w:left w:val="none" w:sz="0" w:space="0" w:color="auto"/>
                                            <w:bottom w:val="none" w:sz="0" w:space="0" w:color="auto"/>
                                            <w:right w:val="none" w:sz="0" w:space="0" w:color="auto"/>
                                          </w:divBdr>
                                          <w:divsChild>
                                            <w:div w:id="949706066">
                                              <w:marLeft w:val="0"/>
                                              <w:marRight w:val="0"/>
                                              <w:marTop w:val="0"/>
                                              <w:marBottom w:val="0"/>
                                              <w:divBdr>
                                                <w:top w:val="none" w:sz="0" w:space="0" w:color="auto"/>
                                                <w:left w:val="none" w:sz="0" w:space="0" w:color="auto"/>
                                                <w:bottom w:val="none" w:sz="0" w:space="0" w:color="auto"/>
                                                <w:right w:val="none" w:sz="0" w:space="0" w:color="auto"/>
                                              </w:divBdr>
                                              <w:divsChild>
                                                <w:div w:id="1215585401">
                                                  <w:marLeft w:val="0"/>
                                                  <w:marRight w:val="0"/>
                                                  <w:marTop w:val="0"/>
                                                  <w:marBottom w:val="0"/>
                                                  <w:divBdr>
                                                    <w:top w:val="none" w:sz="0" w:space="0" w:color="auto"/>
                                                    <w:left w:val="none" w:sz="0" w:space="0" w:color="auto"/>
                                                    <w:bottom w:val="none" w:sz="0" w:space="0" w:color="auto"/>
                                                    <w:right w:val="none" w:sz="0" w:space="0" w:color="auto"/>
                                                  </w:divBdr>
                                                  <w:divsChild>
                                                    <w:div w:id="412050698">
                                                      <w:marLeft w:val="0"/>
                                                      <w:marRight w:val="0"/>
                                                      <w:marTop w:val="0"/>
                                                      <w:marBottom w:val="0"/>
                                                      <w:divBdr>
                                                        <w:top w:val="none" w:sz="0" w:space="0" w:color="auto"/>
                                                        <w:left w:val="none" w:sz="0" w:space="0" w:color="auto"/>
                                                        <w:bottom w:val="none" w:sz="0" w:space="0" w:color="auto"/>
                                                        <w:right w:val="none" w:sz="0" w:space="0" w:color="auto"/>
                                                      </w:divBdr>
                                                    </w:div>
                                                    <w:div w:id="1157192016">
                                                      <w:marLeft w:val="0"/>
                                                      <w:marRight w:val="0"/>
                                                      <w:marTop w:val="0"/>
                                                      <w:marBottom w:val="0"/>
                                                      <w:divBdr>
                                                        <w:top w:val="none" w:sz="0" w:space="0" w:color="auto"/>
                                                        <w:left w:val="none" w:sz="0" w:space="0" w:color="auto"/>
                                                        <w:bottom w:val="none" w:sz="0" w:space="0" w:color="auto"/>
                                                        <w:right w:val="none" w:sz="0" w:space="0" w:color="auto"/>
                                                      </w:divBdr>
                                                    </w:div>
                                                    <w:div w:id="184478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8.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hyperlink" Target="https://www.eia.gov/coal/production/quarterly/pdf/0121121q.pdf"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image" Target="media/image8.png"/><Relationship Id="rId33" Type="http://schemas.openxmlformats.org/officeDocument/2006/relationships/hyperlink" Target="http://www.eia.gov/consumption/commercial/index.cfm" TargetMode="External"/><Relationship Id="rId38"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yperlink" Target="https://www.eia.gov/state/seds/seds-data-complete.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7.png"/><Relationship Id="rId32" Type="http://schemas.openxmlformats.org/officeDocument/2006/relationships/hyperlink" Target="https://www.eia.gov/dnav/pet/pet_cons_821dst_dcu_nus_a.htm" TargetMode="External"/><Relationship Id="rId37" Type="http://schemas.openxmlformats.org/officeDocument/2006/relationships/header" Target="header10.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6.jpeg"/><Relationship Id="rId28" Type="http://schemas.openxmlformats.org/officeDocument/2006/relationships/hyperlink" Target="https://www.census.gov/programs-surveys/apes.html" TargetMode="External"/><Relationship Id="rId36"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yperlink" Target="http://www.eia.gov/dnav/pet/pet_cons_821dst_dcu_nus_a.htm" TargetMode="Externa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header" Target="header3.xml"/><Relationship Id="rId22" Type="http://schemas.openxmlformats.org/officeDocument/2006/relationships/image" Target="media/image5.jpeg"/><Relationship Id="rId27" Type="http://schemas.openxmlformats.org/officeDocument/2006/relationships/hyperlink" Target="https://www.census.gov/programs-surveys/cbp.html" TargetMode="External"/><Relationship Id="rId30" Type="http://schemas.openxmlformats.org/officeDocument/2006/relationships/hyperlink" Target="https://www.eia.gov/coal/distribution/annual/archive.php" TargetMode="External"/><Relationship Id="rId35" Type="http://schemas.openxmlformats.org/officeDocument/2006/relationships/hyperlink" Target="https://www.epa.gov/air-emissions-factors-and-quantification/ap-42-compilation-air-emissions-factor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18DFE-2664-4E30-820C-4E676DAE4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79</Pages>
  <Words>12604</Words>
  <Characters>93476</Characters>
  <Application>Microsoft Office Word</Application>
  <DocSecurity>0</DocSecurity>
  <Lines>778</Lines>
  <Paragraphs>211</Paragraphs>
  <ScaleCrop>false</ScaleCrop>
  <HeadingPairs>
    <vt:vector size="2" baseType="variant">
      <vt:variant>
        <vt:lpstr>Title</vt:lpstr>
      </vt:variant>
      <vt:variant>
        <vt:i4>1</vt:i4>
      </vt:variant>
    </vt:vector>
  </HeadingPairs>
  <TitlesOfParts>
    <vt:vector size="1" baseType="lpstr">
      <vt:lpstr>10</vt:lpstr>
    </vt:vector>
  </TitlesOfParts>
  <Company>MCNC Environmental Modeling Center</Company>
  <LinksUpToDate>false</LinksUpToDate>
  <CharactersWithSpaces>105869</CharactersWithSpaces>
  <SharedDoc>false</SharedDoc>
  <HLinks>
    <vt:vector size="30" baseType="variant">
      <vt:variant>
        <vt:i4>5439578</vt:i4>
      </vt:variant>
      <vt:variant>
        <vt:i4>6</vt:i4>
      </vt:variant>
      <vt:variant>
        <vt:i4>0</vt:i4>
      </vt:variant>
      <vt:variant>
        <vt:i4>5</vt:i4>
      </vt:variant>
      <vt:variant>
        <vt:lpwstr>http://www.ametsoc.org/pubs/refstyl.html</vt:lpwstr>
      </vt:variant>
      <vt:variant>
        <vt:lpwstr/>
      </vt:variant>
      <vt:variant>
        <vt:i4>1835101</vt:i4>
      </vt:variant>
      <vt:variant>
        <vt:i4>3</vt:i4>
      </vt:variant>
      <vt:variant>
        <vt:i4>0</vt:i4>
      </vt:variant>
      <vt:variant>
        <vt:i4>5</vt:i4>
      </vt:variant>
      <vt:variant>
        <vt:lpwstr>http://www.ametsoc.org/PUBS/Authorsguide/pdf_vs/agbrf2002.pdf</vt:lpwstr>
      </vt:variant>
      <vt:variant>
        <vt:lpwstr/>
      </vt:variant>
      <vt:variant>
        <vt:i4>7340127</vt:i4>
      </vt:variant>
      <vt:variant>
        <vt:i4>0</vt:i4>
      </vt:variant>
      <vt:variant>
        <vt:i4>0</vt:i4>
      </vt:variant>
      <vt:variant>
        <vt:i4>5</vt:i4>
      </vt:variant>
      <vt:variant>
        <vt:lpwstr>mailto:m3workshop@e.mcnc.org</vt:lpwstr>
      </vt:variant>
      <vt:variant>
        <vt:lpwstr/>
      </vt:variant>
      <vt:variant>
        <vt:i4>4456536</vt:i4>
      </vt:variant>
      <vt:variant>
        <vt:i4>0</vt:i4>
      </vt:variant>
      <vt:variant>
        <vt:i4>0</vt:i4>
      </vt:variant>
      <vt:variant>
        <vt:i4>5</vt:i4>
      </vt:variant>
      <vt:variant>
        <vt:lpwstr>mailto:jeanne-eichinger@unc.edu</vt:lpwstr>
      </vt:variant>
      <vt:variant>
        <vt:lpwstr/>
      </vt:variant>
      <vt:variant>
        <vt:i4>2031727</vt:i4>
      </vt:variant>
      <vt:variant>
        <vt:i4>6898</vt:i4>
      </vt:variant>
      <vt:variant>
        <vt:i4>1025</vt:i4>
      </vt:variant>
      <vt:variant>
        <vt:i4>1</vt:i4>
      </vt:variant>
      <vt:variant>
        <vt:lpwstr>obstimeseries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creator>Liz Hayes</dc:creator>
  <cp:lastModifiedBy>StClair, Aimee</cp:lastModifiedBy>
  <cp:revision>5</cp:revision>
  <cp:lastPrinted>2015-11-17T20:38:00Z</cp:lastPrinted>
  <dcterms:created xsi:type="dcterms:W3CDTF">2019-05-03T12:42:00Z</dcterms:created>
  <dcterms:modified xsi:type="dcterms:W3CDTF">2019-05-03T13:20:00Z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193235963</vt:i4>
  </property>
  <property fmtid="{D5CDD505-2E9C-101B-9397-08002B2CF9AE}" pid="3" name="_EmailSubject">
    <vt:lpwstr>Revised abstract template</vt:lpwstr>
  </property>
  <property fmtid="{D5CDD505-2E9C-101B-9397-08002B2CF9AE}" pid="4" name="_AuthorEmail">
    <vt:lpwstr>jeanne-eichinger@unc.edu</vt:lpwstr>
  </property>
  <property fmtid="{D5CDD505-2E9C-101B-9397-08002B2CF9AE}" pid="5" name="_AuthorEmailDisplayName">
    <vt:lpwstr>Jeanne Eichinger</vt:lpwstr>
  </property>
  <property fmtid="{D5CDD505-2E9C-101B-9397-08002B2CF9AE}" pid="6" name="_PreviousAdHocReviewCycleID">
    <vt:i4>-774040897</vt:i4>
  </property>
  <property fmtid="{D5CDD505-2E9C-101B-9397-08002B2CF9AE}" pid="7" name="_ReviewingToolsShownOnce">
    <vt:lpwstr/>
  </property>
</Properties>
</file>